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17: PHISHING EMAIL DETECTION USING DEEP LEARNING TECHNIQUES-DJANGO FRAMEWORK</w:t>
      </w:r>
    </w:p>
    <w:p>
      <w:pPr>
        <w:spacing w:after="360"/>
      </w:pPr>
      <w:r>
        <w:rPr>
          <w:i/>
          <w:color w:val="64748B"/>
          <w:sz w:val="22"/>
        </w:rPr>
        <w:t>Academic &amp; Enterprise Implementation Specification  |  Project 17 of 55</w:t>
      </w:r>
    </w:p>
    <w:p>
      <w:pPr>
        <w:pStyle w:val="Heading1"/>
        <w:spacing w:before="240" w:after="120"/>
      </w:pPr>
      <w:r>
        <w:t>1. Executive Abstract</w:t>
      </w:r>
    </w:p>
    <w:p>
      <w:pPr>
        <w:spacing w:line="276" w:lineRule="auto" w:after="280"/>
      </w:pPr>
      <w:r>
        <w:t>"The phishing email is one of the significant threats in the world today and has caused tremendous financial losses. Although the methods of confrontation are  continually being updated, the results of those methods are not very satisfactory at present. Moreover, phishing emails are growing at an alarming rate in recent years. Therefore, more effective phishing detection technology is needed to curb the threat of phishing emails. In this paper, we first analyzed the email structure. Then based on an improved Recurrent Convolutional Neural Networks (RCNN) model with multilevel vectors and attention mechanism, we proposed a new phishing email detection model named, which is used to model emails at the email header, the email body, the character level, and the word level simultaneously. To evaluate the effectiveness of, we use an unbalanced dataset that has realistic ratios of phishing and legitimate emails. Experimental results show that the. Meanwhile, the ensure that the filter can identify phishing emails with high probability and filter out legitimate emails as little as possible. This promising result is superior to the existing detection methods and verifies the effectiveness of in detecting phishing emails. "</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17 of 55</w:t>
            </w:r>
          </w:p>
        </w:tc>
      </w:tr>
      <w:tr>
        <w:tc>
          <w:tcPr>
            <w:tcW w:type="dxa" w:w="4320"/>
          </w:tcPr>
          <w:p>
            <w:r>
              <w:rPr>
                <w:b/>
              </w:rPr>
              <w:t>Default Service Port</w:t>
            </w:r>
          </w:p>
        </w:tc>
        <w:tc>
          <w:tcPr>
            <w:tcW w:type="dxa" w:w="4320"/>
          </w:tcPr>
          <w:p>
            <w:r>
              <w:t>http://localhost:5017</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