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18: SKIN TONE BODY MEASUREMENT BASED DRESS RECOMMENDATION</w:t>
      </w:r>
    </w:p>
    <w:p>
      <w:pPr>
        <w:spacing w:after="360"/>
      </w:pPr>
      <w:r>
        <w:rPr>
          <w:i/>
          <w:color w:val="64748B"/>
          <w:sz w:val="22"/>
        </w:rPr>
        <w:t>Academic &amp; Enterprise Implementation Specification  |  Project 18 of 55</w:t>
      </w:r>
    </w:p>
    <w:p>
      <w:pPr>
        <w:pStyle w:val="Heading1"/>
        <w:spacing w:before="240" w:after="120"/>
      </w:pPr>
      <w:r>
        <w:t>1. Executive Abstract</w:t>
      </w:r>
    </w:p>
    <w:p>
      <w:pPr>
        <w:spacing w:line="276" w:lineRule="auto" w:after="280"/>
      </w:pPr>
      <w:r>
        <w:t>People often struggle to do what they ideally want because of a conflict between their actual and ideal preferences. By focusing on maximizing engagement, recommendation algorithms appear to be exacerbating this struggle. However, this need not be the case. Here we show that tailoring recommendation using machine learning algorithms TF-IDF and GBM Gradient Boosting Method to ideal (vs. actual) preferences would provide meaningful benefits to both users and companies. Recommendation systems are software tools that utilize machine learning algorithms and data analysis techniques to suggest personalized and relevant products or services to individual users. These systems analyze users’ past behavior, preferences, and interactions with the system, as well as other factors such as demographics and location. To generate recommendations that are 1hour alternation, 24 hours tailored and styling mentor for suitable hour glass like pants, shirts, chudidhar etc… to their specific needs and interests. Recommendation systems are commonly used in e-commerce, online streaming services, social media, and other industries to improve customer satisfaction and increase revenue.</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18 of 55</w:t>
            </w:r>
          </w:p>
        </w:tc>
      </w:tr>
      <w:tr>
        <w:tc>
          <w:tcPr>
            <w:tcW w:type="dxa" w:w="4320"/>
          </w:tcPr>
          <w:p>
            <w:r>
              <w:rPr>
                <w:b/>
              </w:rPr>
              <w:t>Default Service Port</w:t>
            </w:r>
          </w:p>
        </w:tc>
        <w:tc>
          <w:tcPr>
            <w:tcW w:type="dxa" w:w="4320"/>
          </w:tcPr>
          <w:p>
            <w:r>
              <w:t>http://localhost:5018</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