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20: WEAPON DETECTION USING MACHINE LEARNING YOLOV8</w:t>
      </w:r>
    </w:p>
    <w:p>
      <w:pPr>
        <w:spacing w:after="360"/>
      </w:pPr>
      <w:r>
        <w:rPr>
          <w:i/>
          <w:color w:val="64748B"/>
          <w:sz w:val="22"/>
        </w:rPr>
        <w:t>Academic &amp; Enterprise Implementation Specification  |  Project 20 of 55</w:t>
      </w:r>
    </w:p>
    <w:p>
      <w:pPr>
        <w:pStyle w:val="Heading1"/>
        <w:spacing w:before="240" w:after="120"/>
      </w:pPr>
      <w:r>
        <w:t>1. Executive Abstract</w:t>
      </w:r>
    </w:p>
    <w:p>
      <w:pPr>
        <w:spacing w:line="276" w:lineRule="auto" w:after="280"/>
      </w:pPr>
      <w:r>
        <w:t>Weapon detection using machine learning, specifically through the use of YOLOv8 (You Only Look Once version 8), aims to enhance security systems by automatically identifying weapons in real-time from images. YOLOv8, a state-of-the-art object detection algorithm, leverages deep learning techniques to detect and classify objects with high accuracy and efficiency. By training on large datasets of weapon images, YOLOv8 can identify various types of weapons, such as guns, knives, and explosives, even in complex and crowded environments. This automated detection system can significantly improve public safety by quickly identifying potential threats and enabling faster response times. The use of YOLOv8 for weapon detection provides a scalable, real-time solution that can be integrated into surveillance systems, airports, public venues, and other high-risk areas, enhancing security measures while minimizing human error.</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20 of 55</w:t>
            </w:r>
          </w:p>
        </w:tc>
      </w:tr>
      <w:tr>
        <w:tc>
          <w:tcPr>
            <w:tcW w:type="dxa" w:w="4320"/>
          </w:tcPr>
          <w:p>
            <w:r>
              <w:rPr>
                <w:b/>
              </w:rPr>
              <w:t>Default Service Port</w:t>
            </w:r>
          </w:p>
        </w:tc>
        <w:tc>
          <w:tcPr>
            <w:tcW w:type="dxa" w:w="4320"/>
          </w:tcPr>
          <w:p>
            <w:r>
              <w:t>http://localhost:5020</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