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22: AI-BASED CUSTOMER COMPLAINT CLASSIFICATION AND PRIORITY PREDICTION USING NLP</w:t>
      </w:r>
    </w:p>
    <w:p>
      <w:pPr>
        <w:spacing w:after="360"/>
      </w:pPr>
      <w:r>
        <w:rPr>
          <w:i/>
          <w:color w:val="64748B"/>
          <w:sz w:val="22"/>
        </w:rPr>
        <w:t>Academic &amp; Enterprise Implementation Specification  |  Project 22 of 55</w:t>
      </w:r>
    </w:p>
    <w:p>
      <w:pPr>
        <w:pStyle w:val="Heading1"/>
        <w:spacing w:before="240" w:after="120"/>
      </w:pPr>
      <w:r>
        <w:t>1. Executive Abstract</w:t>
      </w:r>
    </w:p>
    <w:p>
      <w:pPr>
        <w:spacing w:line="276" w:lineRule="auto" w:after="280"/>
      </w:pPr>
      <w:r>
        <w:t>"Customer complaints provide valuable information about problems faced by users, but handling a large number of complaints manually can be time-consuming and inefficient. Complaints received through emails, online forms, chat platforms, and customer-support systems may contain different types of issues, making it difficult for support teams to quickly identify which complaints require immediate attention. The proposed AI-Based Customer Complaint Classification and Priority Prediction System Using Natural Language Processing (NLP) is designed to automatically understand, categorize, and prioritize customer complaints. The proposed system is developed using Python, NLP techniques, and machine learning algorithms to analyze the textual content of complaints. The system processes the complaint, identifies important textual patterns, and classifies it into relevant categories such as payment issues, product complaints, delivery problems, technical issues, account-related problems, or service dissatisfaction. This reduces the need for support staff to manually read and categorize every complaint.</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22 of 55</w:t>
            </w:r>
          </w:p>
        </w:tc>
      </w:tr>
      <w:tr>
        <w:tc>
          <w:tcPr>
            <w:tcW w:type="dxa" w:w="4320"/>
          </w:tcPr>
          <w:p>
            <w:r>
              <w:rPr>
                <w:b/>
              </w:rPr>
              <w:t>Default Service Port</w:t>
            </w:r>
          </w:p>
        </w:tc>
        <w:tc>
          <w:tcPr>
            <w:tcW w:type="dxa" w:w="4320"/>
          </w:tcPr>
          <w:p>
            <w:r>
              <w:t>http://localhost:5022</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