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23: AI-BASED MEETING SUMMARIZATION AND ACTION-ITEM EXTRACTION USING NATURAL LANGUAGE PROCESSING</w:t>
      </w:r>
    </w:p>
    <w:p>
      <w:pPr>
        <w:spacing w:after="360"/>
      </w:pPr>
      <w:r>
        <w:rPr>
          <w:i/>
          <w:color w:val="64748B"/>
          <w:sz w:val="22"/>
        </w:rPr>
        <w:t>Academic &amp; Enterprise Implementation Specification  |  Project 23 of 55</w:t>
      </w:r>
    </w:p>
    <w:p>
      <w:pPr>
        <w:pStyle w:val="Heading1"/>
        <w:spacing w:before="240" w:after="120"/>
      </w:pPr>
      <w:r>
        <w:t>1. Executive Abstract</w:t>
      </w:r>
    </w:p>
    <w:p>
      <w:pPr>
        <w:spacing w:line="276" w:lineRule="auto" w:after="280"/>
      </w:pPr>
      <w:r>
        <w:t>"Meetings are an important part of academic, business, and organizational activities, where discussions often contain decisions, responsibilities, deadlines, and important follow-up tasks. However, manually recording and reviewing lengthy meeting conversations can be time-consuming, and important action items may be overlooked. The proposed AI-Based Meeting Summarization and Action-Item Extraction System Using Natural Language Processing (NLP) aims to automatically convert meeting conversations into concise and meaningful information that can be easily understood and followed. The proposed system is implemented using Python, Natural Language Processing techniques, and machine learning/deep learning models to process meeting transcripts or speech-to-text content. The system analyzes the conversation, identifies important discussion points, removes unnecessary or repetitive information, and generates a concise summary of the meeting. Instead of simply shortening the entire conversation, the system focuses on extracting information that is useful for understanding the actual outcome of the meeting. The major uniqueness of the proposed system is its action-oriented summarization approach.</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23 of 55</w:t>
            </w:r>
          </w:p>
        </w:tc>
      </w:tr>
      <w:tr>
        <w:tc>
          <w:tcPr>
            <w:tcW w:type="dxa" w:w="4320"/>
          </w:tcPr>
          <w:p>
            <w:r>
              <w:rPr>
                <w:b/>
              </w:rPr>
              <w:t>Default Service Port</w:t>
            </w:r>
          </w:p>
        </w:tc>
        <w:tc>
          <w:tcPr>
            <w:tcW w:type="dxa" w:w="4320"/>
          </w:tcPr>
          <w:p>
            <w:r>
              <w:t>http://localhost:5023</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