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24: EARLY DETECTION OF FINANCIAL FRAUDULENT TRANSACTIONS USING GRAPH NEURAL NETWORKS</w:t>
      </w:r>
    </w:p>
    <w:p>
      <w:pPr>
        <w:spacing w:after="360"/>
      </w:pPr>
      <w:r>
        <w:rPr>
          <w:i/>
          <w:color w:val="64748B"/>
          <w:sz w:val="22"/>
        </w:rPr>
        <w:t>Academic &amp; Enterprise Implementation Specification  |  Project 24 of 55</w:t>
      </w:r>
    </w:p>
    <w:p>
      <w:pPr>
        <w:pStyle w:val="Heading1"/>
        <w:spacing w:before="240" w:after="120"/>
      </w:pPr>
      <w:r>
        <w:t>1. Executive Abstract</w:t>
      </w:r>
    </w:p>
    <w:p>
      <w:pPr>
        <w:spacing w:line="276" w:lineRule="auto" w:after="280"/>
      </w:pPr>
      <w:r>
        <w:t>"The rapid growth of digital payments and online banking has increased the number of financial transactions performed every day, while also creating new opportunities for fraudulent activities. Traditional fraud detection systems often analyze transactions individually using predefined rules or conventional machine learning techniques. However, financial fraud is frequently connected to relationships between multiple accounts, devices, locations, and transactions, making it difficult to identify suspicious behavior by examining a single transaction alone. The proposed Early Detection of Financial Fraudulent Transactions Using Graph Neural Networks (GNNs) aims to address this challenge by analyzing the relationships and behavioral patterns within financial transaction networks. The system is developed using Python, machine learning, and Graph Neural Network techniques. Financial entities such as customers, bank accounts, payment methods, devices, and transactions can be represented as nodes and relationships between them as edges. This graph-based representation enables the system to study not only individual transaction characteristics but also the connections between different entities.</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24 of 55</w:t>
            </w:r>
          </w:p>
        </w:tc>
      </w:tr>
      <w:tr>
        <w:tc>
          <w:tcPr>
            <w:tcW w:type="dxa" w:w="4320"/>
          </w:tcPr>
          <w:p>
            <w:r>
              <w:rPr>
                <w:b/>
              </w:rPr>
              <w:t>Default Service Port</w:t>
            </w:r>
          </w:p>
        </w:tc>
        <w:tc>
          <w:tcPr>
            <w:tcW w:type="dxa" w:w="4320"/>
          </w:tcPr>
          <w:p>
            <w:r>
              <w:t>http://localhost:5024</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