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25: MULTILINGUAL SPEECH EMOTION RECOGNITION USING DEEP LEARNING</w:t>
      </w:r>
    </w:p>
    <w:p>
      <w:pPr>
        <w:spacing w:after="360"/>
      </w:pPr>
      <w:r>
        <w:rPr>
          <w:i/>
          <w:color w:val="64748B"/>
          <w:sz w:val="22"/>
        </w:rPr>
        <w:t>Academic &amp; Enterprise Implementation Specification  |  Project 25 of 55</w:t>
      </w:r>
    </w:p>
    <w:p>
      <w:pPr>
        <w:pStyle w:val="Heading1"/>
        <w:spacing w:before="240" w:after="120"/>
      </w:pPr>
      <w:r>
        <w:t>1. Executive Abstract</w:t>
      </w:r>
    </w:p>
    <w:p>
      <w:pPr>
        <w:spacing w:line="276" w:lineRule="auto" w:after="280"/>
      </w:pPr>
      <w:r>
        <w:t>"Human speech communicates not only words but also emotions through variations in tone, pitch, intensity, rhythm, and speaking style. Conventional speech recognition systems mainly focus on converting speech into text and often overlook the emotional state of the speaker. The proposed Multilingual Speech Emotion Recognition System Using Deep Learning aims to identify emotions from spoken audio across multiple languages, enabling more intelligent and human-aware voice interaction. The system accepts speech as input and extracts important acoustic features such as pitch, frequency, energy, and spectral characteristics. Deep learning techniques are then used to learn the relationship between these speech patterns and emotional states such as happiness, sadness, anger, fear, and neutrality. The model is designed to work across multiple languages, making it suitable for multilingual environments where pronunciation, vocabulary, and speaking styles may differ. The major uniqueness of the proposed system is its focus on how a person speaks rather than only what the person says. The system can identify emotional characteristics even when the language changes.</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25 of 55</w:t>
            </w:r>
          </w:p>
        </w:tc>
      </w:tr>
      <w:tr>
        <w:tc>
          <w:tcPr>
            <w:tcW w:type="dxa" w:w="4320"/>
          </w:tcPr>
          <w:p>
            <w:r>
              <w:rPr>
                <w:b/>
              </w:rPr>
              <w:t>Default Service Port</w:t>
            </w:r>
          </w:p>
        </w:tc>
        <w:tc>
          <w:tcPr>
            <w:tcW w:type="dxa" w:w="4320"/>
          </w:tcPr>
          <w:p>
            <w:r>
              <w:t>http://localhost:5025</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