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26: NETWORK INTRUSION DETECTION USING ENSEMBLE MACHINE LEARNING AND ANOMALY DETECTION</w:t>
      </w:r>
    </w:p>
    <w:p>
      <w:pPr>
        <w:spacing w:after="360"/>
      </w:pPr>
      <w:r>
        <w:rPr>
          <w:i/>
          <w:color w:val="64748B"/>
          <w:sz w:val="22"/>
        </w:rPr>
        <w:t>Academic &amp; Enterprise Implementation Specification  |  Project 26 of 55</w:t>
      </w:r>
    </w:p>
    <w:p>
      <w:pPr>
        <w:pStyle w:val="Heading1"/>
        <w:spacing w:before="240" w:after="120"/>
      </w:pPr>
      <w:r>
        <w:t>1. Executive Abstract</w:t>
      </w:r>
    </w:p>
    <w:p>
      <w:pPr>
        <w:spacing w:line="276" w:lineRule="auto" w:after="280"/>
      </w:pPr>
      <w:r>
        <w:t>" The system is developed using Python, machine learning algorithms, and anomaly detection techniques to analyze network traffic and identify suspicious behavior. Relevant network features such as connection patterns, traffic volume, protocol information, duration, and packet-related characteristics are processed and provided to the learning models. Ensemble machine learning techniques combine the predictions of multiple models to improve detection reliability compared with depending on a single algorithm. The major uniqueness of the proposed system is the combination of ensemble-based classification with anomaly detection. While the classification component can identify known attack patterns, the anomaly detection component focuses on recognizing network behavior that significantly differs from normal traffic. This provides an additional layer of protection against unusual or previously unseen activities that may not match existing attack signatures. The system can also assign a risk level to detected network activities, allowing security administrators to identify potentially serious events more quickly.</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26 of 55</w:t>
            </w:r>
          </w:p>
        </w:tc>
      </w:tr>
      <w:tr>
        <w:tc>
          <w:tcPr>
            <w:tcW w:type="dxa" w:w="4320"/>
          </w:tcPr>
          <w:p>
            <w:r>
              <w:rPr>
                <w:b/>
              </w:rPr>
              <w:t>Default Service Port</w:t>
            </w:r>
          </w:p>
        </w:tc>
        <w:tc>
          <w:tcPr>
            <w:tcW w:type="dxa" w:w="4320"/>
          </w:tcPr>
          <w:p>
            <w:r>
              <w:t>http://localhost:5026</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