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pPr>
      <w:r>
        <w:rPr>
          <w:b/>
          <w:color w:val="102C57"/>
          <w:sz w:val="40"/>
        </w:rPr>
        <w:t>PROJECT 27: RETRIEVAL-AUGMENTED AI SYSTEM FOR INTELLIGENT QUESTION ANSWERING FROM ACADEMIC DOCUMENTS</w:t>
      </w:r>
    </w:p>
    <w:p>
      <w:pPr>
        <w:spacing w:after="360"/>
      </w:pPr>
      <w:r>
        <w:rPr>
          <w:i/>
          <w:color w:val="64748B"/>
          <w:sz w:val="22"/>
        </w:rPr>
        <w:t>Academic &amp; Enterprise Implementation Specification  |  Project 27 of 55</w:t>
      </w:r>
    </w:p>
    <w:p>
      <w:pPr>
        <w:pStyle w:val="Heading1"/>
        <w:spacing w:before="240" w:after="120"/>
      </w:pPr>
      <w:r>
        <w:t>1. Executive Abstract</w:t>
      </w:r>
    </w:p>
    <w:p>
      <w:pPr>
        <w:spacing w:line="276" w:lineRule="auto" w:after="280"/>
      </w:pPr>
      <w:r>
        <w:t>"Academic institutions and students work with a large volume of digital resources such as textbooks, lecture notes, research papers, question banks, laboratory manuals, and project documents. Finding specific information from lengthy academic documents can be time-consuming, while conventional keyword-based search systems often fail to understand the actual meaning or context of a user's question. The proposed Retrieval-Augmented AI System for Intelligent Question Answering from Academic Documents aims to provide an intelligent solution that allows users to ask questions in natural language and receive answers based specifically on the information available in their academic documents. The proposed system is implemented using Python, Natural Language Processing, text embeddings, vector database technology, and Large Language Models (LLMs). Uploaded documents are first processed, cleaned, and divided into meaningful text segments. These segments are converted into numerical vector representations using embedding techniques and stored in a vector database. When a user asks a question, the system searches the stored document representations and retrieves the most semantically relevant content before generating the final answer.</w:t>
      </w:r>
    </w:p>
    <w:p>
      <w:pPr>
        <w:pStyle w:val="Heading1"/>
        <w:spacing w:before="280" w:after="120"/>
      </w:pPr>
      <w:r>
        <w:t>2. Phase 1 — Requirements, Data &amp; Baseline Prototype</w:t>
      </w:r>
    </w:p>
    <w:p>
      <w:pPr>
        <w:pStyle w:val="Heading2"/>
      </w:pPr>
      <w:r>
        <w:t>2.1 Problem Definition &amp; Operational Scope</w:t>
      </w:r>
    </w:p>
    <w:p>
      <w:r>
        <w:t>The system operational scenario specifies autonomous real-time processing of incoming telemetry, video, or data inputs. Input boundaries, anomaly thresholds, and deterministic validation guardrails are enforced prior to inference. Erroneous or out-of-distribution inputs are rejected with low confidence score logs to safeguard downstream decision-making.</w:t>
      </w:r>
    </w:p>
    <w:p>
      <w:pPr>
        <w:pStyle w:val="Heading2"/>
      </w:pPr>
      <w:r>
        <w:t>2.2 Data Pipeline &amp; Preprocessing</w:t>
      </w:r>
    </w:p>
    <w:p>
      <w:r>
        <w:t>A structured feature dictionary maps raw sensor or domain variables to standardized tensor representations. Missing indicators, standardization (z-score scaling / min-max), outlier winsorization, and class balancing ensure leak-free cross-validation across training, testing, and validation splits.</w:t>
      </w:r>
    </w:p>
    <w:p>
      <w:pPr>
        <w:pStyle w:val="Heading2"/>
      </w:pPr>
      <w:r>
        <w:t>2.3 Baseline Model &amp; Reference Experiments</w:t>
      </w:r>
    </w:p>
    <w:p>
      <w:r>
        <w:t>An interpretable baseline algorithm establishes benchmark performance criteria prior to deep neural optimization. Hyperparameters, random initialization seeds, loss convergence curves, and baseline latencies are systematically logged.</w:t>
      </w:r>
    </w:p>
    <w:p>
      <w:pPr>
        <w:pStyle w:val="Heading1"/>
        <w:spacing w:before="280" w:after="120"/>
      </w:pPr>
      <w:r>
        <w:t>3. Phase 2 — Deep Learning Optimization &amp; System Integration</w:t>
      </w:r>
    </w:p>
    <w:p>
      <w:pPr>
        <w:pStyle w:val="Heading2"/>
      </w:pPr>
      <w:r>
        <w:t>3.1 Neural Architecture &amp; Model Refinement</w:t>
      </w:r>
    </w:p>
    <w:p>
      <w:r>
        <w:t>Advanced neural architectures (transfer learning, attention mechanisms, temporal convolutions, or recurrent encoders) are tuned with Bayesian hyperparameter sweeps. Regularization (dropout, weight decay, gradient clipping) prevents overfitting.</w:t>
      </w:r>
    </w:p>
    <w:p>
      <w:pPr>
        <w:pStyle w:val="Heading2"/>
      </w:pPr>
      <w:r>
        <w:t>3.2 Full-Stack Integration &amp; Architecture</w:t>
      </w:r>
    </w:p>
    <w:p>
      <w:r>
        <w:t>The microservice architecture incorporates a high-performance asynchronous REST API Gateway (FastAPI / Express), an automated database persistence layer (SQLite / PostgreSQL), and a responsive analytical dashboard for monitoring.</w:t>
      </w:r>
    </w:p>
    <w:p>
      <w:pPr>
        <w:pStyle w:val="Heading1"/>
        <w:spacing w:before="280" w:after="120"/>
      </w:pPr>
      <w:r>
        <w:t>4. Technical Specifications &amp; Environment</w:t>
      </w:r>
    </w:p>
    <w:tbl>
      <w:tblPr>
        <w:tblStyle w:val="TableGrid"/>
        <w:tblW w:type="auto" w:w="0"/>
        <w:jc w:val="center"/>
        <w:tblLook w:firstColumn="1" w:firstRow="1" w:lastColumn="0" w:lastRow="0" w:noHBand="0" w:noVBand="1" w:val="04A0"/>
      </w:tblPr>
      <w:tblGrid>
        <w:gridCol w:w="4320"/>
        <w:gridCol w:w="4320"/>
      </w:tblGrid>
      <w:tr>
        <w:tc>
          <w:tcPr>
            <w:tcW w:type="dxa" w:w="4320"/>
          </w:tcPr>
          <w:p>
            <w:r>
              <w:rPr>
                <w:b/>
              </w:rPr>
              <w:t>Project Identifier</w:t>
            </w:r>
          </w:p>
        </w:tc>
        <w:tc>
          <w:tcPr>
            <w:tcW w:type="dxa" w:w="4320"/>
          </w:tcPr>
          <w:p>
            <w:r>
              <w:t>Project 27 of 55</w:t>
            </w:r>
          </w:p>
        </w:tc>
      </w:tr>
      <w:tr>
        <w:tc>
          <w:tcPr>
            <w:tcW w:type="dxa" w:w="4320"/>
          </w:tcPr>
          <w:p>
            <w:r>
              <w:rPr>
                <w:b/>
              </w:rPr>
              <w:t>Default Service Port</w:t>
            </w:r>
          </w:p>
        </w:tc>
        <w:tc>
          <w:tcPr>
            <w:tcW w:type="dxa" w:w="4320"/>
          </w:tcPr>
          <w:p>
            <w:r>
              <w:t>http://localhost:5027</w:t>
            </w:r>
          </w:p>
        </w:tc>
      </w:tr>
      <w:tr>
        <w:tc>
          <w:tcPr>
            <w:tcW w:type="dxa" w:w="4320"/>
          </w:tcPr>
          <w:p>
            <w:r>
              <w:rPr>
                <w:b/>
              </w:rPr>
              <w:t>Primary Backend Framework</w:t>
            </w:r>
          </w:p>
        </w:tc>
        <w:tc>
          <w:tcPr>
            <w:tcW w:type="dxa" w:w="4320"/>
          </w:tcPr>
          <w:p>
            <w:r>
              <w:t>Python 3.10+ / FastAPI / PyTorch / Scikit-learn</w:t>
            </w:r>
          </w:p>
        </w:tc>
      </w:tr>
      <w:tr>
        <w:tc>
          <w:tcPr>
            <w:tcW w:type="dxa" w:w="4320"/>
          </w:tcPr>
          <w:p>
            <w:r>
              <w:rPr>
                <w:b/>
              </w:rPr>
              <w:t>Frontend Interface</w:t>
            </w:r>
          </w:p>
        </w:tc>
        <w:tc>
          <w:tcPr>
            <w:tcW w:type="dxa" w:w="4320"/>
          </w:tcPr>
          <w:p>
            <w:r>
              <w:t>Interactive Web Portal (HTML5, Tailwind/CSS, Modern JS)</w:t>
            </w:r>
          </w:p>
        </w:tc>
      </w:tr>
      <w:tr>
        <w:tc>
          <w:tcPr>
            <w:tcW w:type="dxa" w:w="4320"/>
          </w:tcPr>
          <w:p>
            <w:r>
              <w:rPr>
                <w:b/>
              </w:rPr>
              <w:t>Evaluation Metrics</w:t>
            </w:r>
          </w:p>
        </w:tc>
        <w:tc>
          <w:tcPr>
            <w:tcW w:type="dxa" w:w="4320"/>
          </w:tcPr>
          <w:p>
            <w:r>
              <w:t>Accuracy (&gt;=93%), F1-Score (&gt;=0.91), Latency (&lt;35ms)</w:t>
            </w:r>
          </w:p>
        </w:tc>
      </w:tr>
      <w:tr>
        <w:tc>
          <w:tcPr>
            <w:tcW w:type="dxa" w:w="4320"/>
          </w:tcPr>
          <w:p>
            <w:r>
              <w:rPr>
                <w:b/>
              </w:rPr>
              <w:t>Deployment Options</w:t>
            </w:r>
          </w:p>
        </w:tc>
        <w:tc>
          <w:tcPr>
            <w:tcW w:type="dxa" w:w="4320"/>
          </w:tcPr>
          <w:p>
            <w:r>
              <w:t>Local Python Virtualenv, Docker Container, Edge IoT Device</w:t>
            </w:r>
          </w:p>
        </w:tc>
      </w:tr>
    </w:tbl>
    <w:p>
      <w:pPr>
        <w:pStyle w:val="Heading1"/>
        <w:spacing w:before="280" w:after="120"/>
      </w:pPr>
      <w:r>
        <w:t>5. Setup &amp; Operational Verification</w:t>
      </w:r>
    </w:p>
    <w:p>
      <w:r>
        <w:t>1. Navigate to the project root directory.</w:t>
        <w:br/>
        <w:t>2. Install required dependencies: pip install -r requirements.txt</w:t>
        <w:br/>
        <w:t>3. Launch the application from source_code/:</w:t>
        <w:br/>
        <w:t xml:space="preserve">   - Python backend: python source_code/backend/main.py (or run_system.py / app.py)</w:t>
        <w:br/>
        <w:t xml:space="preserve">   - Frontend UI: Open source_code/frontend/index.html in any modern browser</w:t>
        <w:br/>
        <w:t>4. Verify endpoint health by querying GET /health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