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28: AI-BASED AIR QUALITY FORECASTING AND POLLUTION LEVEL PREDICTION USING TIME-SERIES DEEP LEARNING</w:t>
      </w:r>
    </w:p>
    <w:p>
      <w:pPr>
        <w:spacing w:after="360"/>
      </w:pPr>
      <w:r>
        <w:rPr>
          <w:i/>
          <w:color w:val="64748B"/>
          <w:sz w:val="22"/>
        </w:rPr>
        <w:t>Academic &amp; Enterprise Implementation Specification  |  Project 28 of 55</w:t>
      </w:r>
    </w:p>
    <w:p>
      <w:pPr>
        <w:pStyle w:val="Heading1"/>
        <w:spacing w:before="240" w:after="120"/>
      </w:pPr>
      <w:r>
        <w:t>1. Executive Abstract</w:t>
      </w:r>
    </w:p>
    <w:p>
      <w:pPr>
        <w:spacing w:line="276" w:lineRule="auto" w:after="280"/>
      </w:pPr>
      <w:r>
        <w:t>"AI-Based Air Quality Forecasting and Pollution Level Prediction Using Time-Series Deep Learning is a comprehensive and crucial project aimed at addressing unexpected environmental hazards, public health risks, and air pollution inefficiencies in modern urban and industrial environments. As industrialization and urbanization accelerate, cities increasingly rely on interconnected monitoring networks that continuously generate complex environmental metrics, making them prime targets for sudden hazardous pollution spikes if air quality degradation is not proactively identified. Traditional monitoring methods often rely on scheduled or reactive reporting, which can be time-consuming, resource-intensive, and fundamentally inefficient against rapidly developing, complex atmospheric anomalies and subtle pollutant shifts. To address these persistent challenges and limitations, this study proposes an advanced, multi-layered approach combining cutting-edge deep learning techniques with intelligent time-series analysis algorithms for efficient, automated, and real-time environmental monitoring and pollution level forecasting.</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28 of 55</w:t>
            </w:r>
          </w:p>
        </w:tc>
      </w:tr>
      <w:tr>
        <w:tc>
          <w:tcPr>
            <w:tcW w:type="dxa" w:w="4320"/>
          </w:tcPr>
          <w:p>
            <w:r>
              <w:rPr>
                <w:b/>
              </w:rPr>
              <w:t>Default Service Port</w:t>
            </w:r>
          </w:p>
        </w:tc>
        <w:tc>
          <w:tcPr>
            <w:tcW w:type="dxa" w:w="4320"/>
          </w:tcPr>
          <w:p>
            <w:r>
              <w:t>http://localhost:5028</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