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29: AI-BASED SIGN LANGUAGE TRANSLATION WITH REAL-TIME SPEECH AND TEXT GENERATION</w:t>
      </w:r>
    </w:p>
    <w:p>
      <w:pPr>
        <w:spacing w:after="360"/>
      </w:pPr>
      <w:r>
        <w:rPr>
          <w:i/>
          <w:color w:val="64748B"/>
          <w:sz w:val="22"/>
        </w:rPr>
        <w:t>Academic &amp; Enterprise Implementation Specification  |  Project 29 of 55</w:t>
      </w:r>
    </w:p>
    <w:p>
      <w:pPr>
        <w:pStyle w:val="Heading1"/>
        <w:spacing w:before="240" w:after="120"/>
      </w:pPr>
      <w:r>
        <w:t>1. Executive Abstract</w:t>
      </w:r>
    </w:p>
    <w:p>
      <w:pPr>
        <w:spacing w:line="276" w:lineRule="auto" w:after="280"/>
      </w:pPr>
      <w:r>
        <w:t>"AI-Based Sign Language Translation with Real-Time Speech and Text Generation is a comprehensive and crucial project aimed at addressing communication barriers, accessibility gaps, and social inclusion challenges in modern communities and digital environments. As digital communication accelerates, societies increasingly rely on inclusive interactions, making the deaf and hard-of-hearing community prime targets for communication isolation if gestural translation is not proactively supported. Traditional translation methods often rely on manual interpretation or static phrasing, which can be time-consuming, resource-intensive, and fundamentally inefficient against rapidly moving, complex gestural movements and subtle sign variations. To address these persistent challenges and limitations, this study proposes an advanced, multi-layered approach combining cutting-edge deep learning techniques with intelligent machine learning algorithms for efficient, automated, and real-time sign language recognition and generation.</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29 of 55</w:t>
            </w:r>
          </w:p>
        </w:tc>
      </w:tr>
      <w:tr>
        <w:tc>
          <w:tcPr>
            <w:tcW w:type="dxa" w:w="4320"/>
          </w:tcPr>
          <w:p>
            <w:r>
              <w:rPr>
                <w:b/>
              </w:rPr>
              <w:t>Default Service Port</w:t>
            </w:r>
          </w:p>
        </w:tc>
        <w:tc>
          <w:tcPr>
            <w:tcW w:type="dxa" w:w="4320"/>
          </w:tcPr>
          <w:p>
            <w:r>
              <w:t>http://localhost:5029</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