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30: EXTENDED ABSTRACT: AI-BASED IOT DEVICE ANOMALY DETECTION FOR SMART HOME SECURITY</w:t>
      </w:r>
    </w:p>
    <w:p>
      <w:pPr>
        <w:spacing w:after="360"/>
      </w:pPr>
      <w:r>
        <w:rPr>
          <w:i/>
          <w:color w:val="64748B"/>
          <w:sz w:val="22"/>
        </w:rPr>
        <w:t>Academic &amp; Enterprise Implementation Specification  |  Project 30 of 55</w:t>
      </w:r>
    </w:p>
    <w:p>
      <w:pPr>
        <w:pStyle w:val="Heading1"/>
        <w:spacing w:before="240" w:after="120"/>
      </w:pPr>
      <w:r>
        <w:t>1. Executive Abstract</w:t>
      </w:r>
    </w:p>
    <w:p>
      <w:pPr>
        <w:spacing w:line="276" w:lineRule="auto" w:after="280"/>
      </w:pPr>
      <w:r>
        <w:t>"AI-Based IoT Device Anomaly Detection for Smart Home Security is a comprehensive and crucial project aimed at addressing the mounting cybersecurity threats present in modern connected residential environments. As the proliferation of Internet of Things (IoT) devices accelerates, households increasingly rely on interconnected systems that handle sensitive personal data, making them prime targets for malicious actors. Traditional security methods often rely on static rules and manual monitoring, which can be time-consuming, resource-intensive, and fundamentally inefficient against rapidly evolving, sophisticated cyber-attacks and zero-day intrusions. To address these persistent challenges and limitations, this study proposes an advanced, multi-layered approach combining cutting-edge deep learning techniques with intelligent machine learning algorithms for efficient, automated, and real-time IoT anomaly detection. The system utilizes specialized deep learning architectures to continuously capture and extract key behavioral features from continuous network traffic and device telemetry, such as complex packet patterns, fluctuating connection frequencies, irregular payload sizes, and subtle operational deviations.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30 of 55</w:t>
            </w:r>
          </w:p>
        </w:tc>
      </w:tr>
      <w:tr>
        <w:tc>
          <w:tcPr>
            <w:tcW w:type="dxa" w:w="4320"/>
          </w:tcPr>
          <w:p>
            <w:r>
              <w:rPr>
                <w:b/>
              </w:rPr>
              <w:t>Default Service Port</w:t>
            </w:r>
          </w:p>
        </w:tc>
        <w:tc>
          <w:tcPr>
            <w:tcW w:type="dxa" w:w="4320"/>
          </w:tcPr>
          <w:p>
            <w:r>
              <w:t>http://localhost:5030</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