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33: REMAINING USEFUL LIFE PREDICTION OF AIRCRAFT COMPONENTS USING MACHINE LEARNING</w:t>
      </w:r>
    </w:p>
    <w:p>
      <w:pPr>
        <w:spacing w:after="360"/>
      </w:pPr>
      <w:r>
        <w:rPr>
          <w:i/>
          <w:color w:val="64748B"/>
          <w:sz w:val="22"/>
        </w:rPr>
        <w:t>Academic &amp; Enterprise Implementation Specification  |  Project 33 of 55</w:t>
      </w:r>
    </w:p>
    <w:p>
      <w:pPr>
        <w:pStyle w:val="Heading1"/>
        <w:spacing w:before="240" w:after="120"/>
      </w:pPr>
      <w:r>
        <w:t>1. Executive Abstract</w:t>
      </w:r>
    </w:p>
    <w:p>
      <w:pPr>
        <w:spacing w:line="276" w:lineRule="auto" w:after="280"/>
      </w:pPr>
      <w:r>
        <w:t>"Remaining Useful Life Prediction of Aircraft Components Using Machine Learning is a comprehensive and crucial project aimed at addressing unexpected equipment failures, costly downtime, and safety risks in modern aerospace environments. As aviation complexity accelerates, airlines and manufacturers increasingly rely on interconnected systems that continuously generate complex operational metrics, making them prime targets for sudden mechanical breakdowns if component degradation is not proactively identified. Traditional maintenance methods often rely on scheduled or reactive servicing, which can be time-consuming, resource-intensive, and fundamentally inefficient against rapidly developing, complex mechanical anomalies and subtle wear and tear. To address these persistent challenges and limitations, this study proposes an advanced, multi-layered approach combining cutting-edge deep learning techniques with intelligent machine learning algorithms for efficient, automated, and real-time aircraft health monitoring and remaining useful life (RUL) prediction.</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33 of 55</w:t>
            </w:r>
          </w:p>
        </w:tc>
      </w:tr>
      <w:tr>
        <w:tc>
          <w:tcPr>
            <w:tcW w:type="dxa" w:w="4320"/>
          </w:tcPr>
          <w:p>
            <w:r>
              <w:rPr>
                <w:b/>
              </w:rPr>
              <w:t>Default Service Port</w:t>
            </w:r>
          </w:p>
        </w:tc>
        <w:tc>
          <w:tcPr>
            <w:tcW w:type="dxa" w:w="4320"/>
          </w:tcPr>
          <w:p>
            <w:r>
              <w:t>http://localhost:5033</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