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38: PAVEMENT CRACK DETECTION AND SEVERITY ASSESSMENT USING DEEP LEARNING</w:t>
      </w:r>
    </w:p>
    <w:p>
      <w:pPr>
        <w:spacing w:after="360"/>
      </w:pPr>
      <w:r>
        <w:rPr>
          <w:i/>
          <w:color w:val="64748B"/>
          <w:sz w:val="22"/>
        </w:rPr>
        <w:t>Academic &amp; Enterprise Implementation Specification  |  Project 38 of 55</w:t>
      </w:r>
    </w:p>
    <w:p>
      <w:pPr>
        <w:pStyle w:val="Heading1"/>
        <w:spacing w:before="240" w:after="120"/>
      </w:pPr>
      <w:r>
        <w:t>1. Executive Abstract</w:t>
      </w:r>
    </w:p>
    <w:p>
      <w:pPr>
        <w:spacing w:line="276" w:lineRule="auto" w:after="280"/>
      </w:pPr>
      <w:r>
        <w:t>"Regular assessment of pavement condition is vital for preserving road network integrity and ensuring commuter safety. Cracking is one of the earliest signs of pavement deterioration, and if left untreated, it can lead to severe structural failures like potholes. Traditional manual distress surveys are subjective, hazardous, and logistically challenging. This study proposes an automated pavement crack detection and severity assessment system based on deep learning. The system utilizes high-resolution pavement images collected by inspection vehicles or drones. A semantic segmentation network, such as U-Net or a modified DeepLabv3+, is developed to perform pixel-level segmentation, separating crack patterns from complex road background textures, shadows, and oil stains. Following crack localization, a severity assessment algorithm calculates the geometric properties of the cracks, such as width, length, and orientation, to classify the distress severity into low, medium, or high categories. The deep learning models are trained on large-scale annotated crack datasets, demonstrating exceptional performance in segmenting fine cracks and handling noisy backgrounds.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38 of 55</w:t>
            </w:r>
          </w:p>
        </w:tc>
      </w:tr>
      <w:tr>
        <w:tc>
          <w:tcPr>
            <w:tcW w:type="dxa" w:w="4320"/>
          </w:tcPr>
          <w:p>
            <w:r>
              <w:rPr>
                <w:b/>
              </w:rPr>
              <w:t>Default Service Port</w:t>
            </w:r>
          </w:p>
        </w:tc>
        <w:tc>
          <w:tcPr>
            <w:tcW w:type="dxa" w:w="4320"/>
          </w:tcPr>
          <w:p>
            <w:r>
              <w:t>http://localhost:5038</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