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39: REAL-TIME SIGN LANGUAGE RECOGNITION AND SPEECH CONVERSION USING DEEP NEURAL NETWORKS</w:t>
      </w:r>
    </w:p>
    <w:p>
      <w:pPr>
        <w:spacing w:after="360"/>
      </w:pPr>
      <w:r>
        <w:rPr>
          <w:i/>
          <w:color w:val="64748B"/>
          <w:sz w:val="22"/>
        </w:rPr>
        <w:t>Academic &amp; Enterprise Implementation Specification  |  Project 39 of 55</w:t>
      </w:r>
    </w:p>
    <w:p>
      <w:pPr>
        <w:pStyle w:val="Heading1"/>
        <w:spacing w:before="240" w:after="120"/>
      </w:pPr>
      <w:r>
        <w:t>1. Executive Abstract</w:t>
      </w:r>
    </w:p>
    <w:p>
      <w:pPr>
        <w:spacing w:line="276" w:lineRule="auto" w:after="280"/>
      </w:pPr>
      <w:r>
        <w:t>"Sign language is the primary medium of communication for the deaf and hard-of-hearing community, yet a significant communication gap exists between signers and the general public who do not understand sign language. To bridge this gap, this study presents a real-time sign language recognition and speech conversion system powered by deep neural networks. The system captures video sequences of sign language gestures using a standard camera. Deep learning architectures, such as Convolutional Neural Networks (CNNs) for spatial feature extraction and Recurrent Neural Networks (RNNs) or Transformers for temporal sequence modeling, are used to interpret both static hand shapes and dynamic gestures. Landmark extraction models like MediaPipe are integrated to track hand gestures, facial expressions, and body poses in real-time. The recognized gestures are mapped to corresponding words or sentences in natural language, which are then converted into clear, synthesized speech using a text-to-speech (TTS) engine. The system is trained on a comprehensive vocabulary of sign language gestures, achieving high recognition accuracy and low latency.</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39 of 55</w:t>
            </w:r>
          </w:p>
        </w:tc>
      </w:tr>
      <w:tr>
        <w:tc>
          <w:tcPr>
            <w:tcW w:type="dxa" w:w="4320"/>
          </w:tcPr>
          <w:p>
            <w:r>
              <w:rPr>
                <w:b/>
              </w:rPr>
              <w:t>Default Service Port</w:t>
            </w:r>
          </w:p>
        </w:tc>
        <w:tc>
          <w:tcPr>
            <w:tcW w:type="dxa" w:w="4320"/>
          </w:tcPr>
          <w:p>
            <w:r>
              <w:t>http://localhost:5039</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