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40: AI-BASED FIRE AND SMOKE DETECTION USING REAL-TIME VIDEO SURVEILLANCE</w:t>
      </w:r>
    </w:p>
    <w:p>
      <w:pPr>
        <w:spacing w:after="360"/>
      </w:pPr>
      <w:r>
        <w:rPr>
          <w:i/>
          <w:color w:val="64748B"/>
          <w:sz w:val="22"/>
        </w:rPr>
        <w:t>Academic &amp; Enterprise Implementation Specification  |  Project 40 of 55</w:t>
      </w:r>
    </w:p>
    <w:p>
      <w:pPr>
        <w:pStyle w:val="Heading1"/>
        <w:spacing w:before="240" w:after="120"/>
      </w:pPr>
      <w:r>
        <w:t>1. Executive Abstract</w:t>
      </w:r>
    </w:p>
    <w:p>
      <w:pPr>
        <w:spacing w:line="276" w:lineRule="auto" w:after="280"/>
      </w:pPr>
      <w:r>
        <w:t>"Fire and smoke outbreaks pose catastrophic risks to human life, property, and environmental safety, necessitating prompt and reliable automated monitoring systems. Conventional sensor-based fire alarms often suffer from delayed response times due to physical distance from fire sources and are incapable of providing spatial context or early smoke visual cues. To overcome these limitations, this study proposes an advanced AI-based fire and smoke detection framework utilizing real-time video surveillance footage. The system incorporates deep convolutional neural networks (CNNs) and real-time object detection models to capture spatio-temporal features, including flame color distributions, flicker motion patterns, and expanding smoke plume dynamics. These extracted visual features enable rapid detection of early-stage fires and faint smoke emissions directly from existing closed-circuit television (CCTV) infrastructure. The proposed model is trained on an extensive, benchmarked dataset of indoor and outdoor video streams containing diverse environmental lighting conditions, atmospheric haze, and potential visual distractors such as bright headlights or sunlight reflections.</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40 of 55</w:t>
            </w:r>
          </w:p>
        </w:tc>
      </w:tr>
      <w:tr>
        <w:tc>
          <w:tcPr>
            <w:tcW w:type="dxa" w:w="4320"/>
          </w:tcPr>
          <w:p>
            <w:r>
              <w:rPr>
                <w:b/>
              </w:rPr>
              <w:t>Default Service Port</w:t>
            </w:r>
          </w:p>
        </w:tc>
        <w:tc>
          <w:tcPr>
            <w:tcW w:type="dxa" w:w="4320"/>
          </w:tcPr>
          <w:p>
            <w:r>
              <w:t>http://localhost:5040</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