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41: AI-BASED FRUIT QUALITY GRADING AND DEFECT DETECTION USING COMPUTER VISION</w:t>
      </w:r>
    </w:p>
    <w:p>
      <w:pPr>
        <w:spacing w:after="360"/>
      </w:pPr>
      <w:r>
        <w:rPr>
          <w:i/>
          <w:color w:val="64748B"/>
          <w:sz w:val="22"/>
        </w:rPr>
        <w:t>Academic &amp; Enterprise Implementation Specification  |  Project 41 of 55</w:t>
      </w:r>
    </w:p>
    <w:p>
      <w:pPr>
        <w:pStyle w:val="Heading1"/>
        <w:spacing w:before="240" w:after="120"/>
      </w:pPr>
      <w:r>
        <w:t>1. Executive Abstract</w:t>
      </w:r>
    </w:p>
    <w:p>
      <w:pPr>
        <w:spacing w:line="276" w:lineRule="auto" w:after="280"/>
      </w:pPr>
      <w:r>
        <w:t>"Quality assessment and grading in the agricultural and food processing industries are critical for minimizing post-harvest losses, ensuring food safety, and meeting export quality standards. Manual inspection methods are labor-intensive, subjective, and prone to inconsistency due to human fatigue and visual limitations. To address these operational challenges, this research presents an intelligent computer vision system for automated fruit quality grading and defect detection. The proposed architecture employs deep learning models to process high-resolution images of harvested fruits, extracting fine-grained features such as surface color uniformity, shape irregularities, size metrics, and localized skin defects including bruises, rot, and pest damage. The deep learning model is trained on a comprehensive image repository featuring multiple fruit varieties across varying maturity stages and environmental lighting conditions. Transfer learning techniques combined with convolutional feature extractors enable the system to classify fruits into distinct quality grades (e.g., Premium, Standard, and Substandard) with high precision and throughput.</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41 of 55</w:t>
            </w:r>
          </w:p>
        </w:tc>
      </w:tr>
      <w:tr>
        <w:tc>
          <w:tcPr>
            <w:tcW w:type="dxa" w:w="4320"/>
          </w:tcPr>
          <w:p>
            <w:r>
              <w:rPr>
                <w:b/>
              </w:rPr>
              <w:t>Default Service Port</w:t>
            </w:r>
          </w:p>
        </w:tc>
        <w:tc>
          <w:tcPr>
            <w:tcW w:type="dxa" w:w="4320"/>
          </w:tcPr>
          <w:p>
            <w:r>
              <w:t>http://localhost:5041</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