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44: INTELLIGENT RESUME SCREENING AND JOB MATCHING USING NATURAL LANGUAGE PROCESSING</w:t>
      </w:r>
    </w:p>
    <w:p>
      <w:pPr>
        <w:spacing w:after="360"/>
      </w:pPr>
      <w:r>
        <w:rPr>
          <w:i/>
          <w:color w:val="64748B"/>
          <w:sz w:val="22"/>
        </w:rPr>
        <w:t>Academic &amp; Enterprise Implementation Specification  |  Project 44 of 55</w:t>
      </w:r>
    </w:p>
    <w:p>
      <w:pPr>
        <w:pStyle w:val="Heading1"/>
        <w:spacing w:before="240" w:after="120"/>
      </w:pPr>
      <w:r>
        <w:t>1. Executive Abstract</w:t>
      </w:r>
    </w:p>
    <w:p>
      <w:pPr>
        <w:spacing w:line="276" w:lineRule="auto" w:after="280"/>
      </w:pPr>
      <w:r>
        <w:t>"Modern talent acquisition processes involve processing hundreds of candidate resumes for every job opening, creating significant administrative bottlenecks for human resource departments. Standard keyword-matching applicant tracking systems (ATS) often fail to capture contextual semantics, leading to qualified candidates being erroneously screened out due to minor phrasing discrepancies. To overcome these limitations, this paper proposes an intelligent resume screening and candidate-job matching framework driven by Natural Language Processing (NLP) and transformer-based language models. The system parses unstructured resume documents (in PDF and DOCX formats), extracts structured entities such as technical skills, educational background, work experience, and domain expertise, and constructs semantic representations of candidate profiles. Using semantic similarity algorithms and fine-tuned BERT-based embeddings, the framework evaluates the alignment between candidate profiles and detailed job descriptions beyond surface-level keyword overlaps. The model scores and ranks candidates objectively, mitigating implicit human bias while highlighting key skill gaps and strengths.</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44 of 55</w:t>
            </w:r>
          </w:p>
        </w:tc>
      </w:tr>
      <w:tr>
        <w:tc>
          <w:tcPr>
            <w:tcW w:type="dxa" w:w="4320"/>
          </w:tcPr>
          <w:p>
            <w:r>
              <w:rPr>
                <w:b/>
              </w:rPr>
              <w:t>Default Service Port</w:t>
            </w:r>
          </w:p>
        </w:tc>
        <w:tc>
          <w:tcPr>
            <w:tcW w:type="dxa" w:w="4320"/>
          </w:tcPr>
          <w:p>
            <w:r>
              <w:t>http://localhost:5044</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