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45: SKILL-GAP ANALYSIS AND PERSONALIZED CAREER RECOMMENDATION USING MACHINE LEARNING</w:t>
      </w:r>
    </w:p>
    <w:p>
      <w:pPr>
        <w:spacing w:after="360"/>
      </w:pPr>
      <w:r>
        <w:rPr>
          <w:i/>
          <w:color w:val="64748B"/>
          <w:sz w:val="22"/>
        </w:rPr>
        <w:t>Academic &amp; Enterprise Implementation Specification  |  Project 45 of 55</w:t>
      </w:r>
    </w:p>
    <w:p>
      <w:pPr>
        <w:pStyle w:val="Heading1"/>
        <w:spacing w:before="240" w:after="120"/>
      </w:pPr>
      <w:r>
        <w:t>1. Executive Abstract</w:t>
      </w:r>
    </w:p>
    <w:p>
      <w:pPr>
        <w:spacing w:line="276" w:lineRule="auto" w:after="280"/>
      </w:pPr>
      <w:r>
        <w:t>"In the rapidly evolving global job market, emerging technological advancements continuously reshape required professional skill sets, creating substantial gaps between educational training and industry demands. Students and job seekers often struggle to identify specific skill deficiencies and navigate clear career advancement pathways. To address this challenge, this study introduces a machine learning-driven framework for automated skill-gap analysis and personalized career path recommendation. The system aggregates real-time job market postings and candidate profile data, applying natural language processing and feature extraction techniques to identify key competency requirements across diverse industry roles. The proposed model employs collaborative filtering and classification algorithms to compare an individual’s current skill matrix against benchmarked target role profiles, generating a quantified skill-gap score. Based on this assessment, the system delivers personalized learning roadmaps, suggesting targeted certification courses, technical skills, and project domains necessary to bridge identified gaps.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45 of 55</w:t>
            </w:r>
          </w:p>
        </w:tc>
      </w:tr>
      <w:tr>
        <w:tc>
          <w:tcPr>
            <w:tcW w:type="dxa" w:w="4320"/>
          </w:tcPr>
          <w:p>
            <w:r>
              <w:rPr>
                <w:b/>
              </w:rPr>
              <w:t>Default Service Port</w:t>
            </w:r>
          </w:p>
        </w:tc>
        <w:tc>
          <w:tcPr>
            <w:tcW w:type="dxa" w:w="4320"/>
          </w:tcPr>
          <w:p>
            <w:r>
              <w:t>http://localhost:5045</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