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47: INTELLIGENT CLASSROOM ENGAGEMENT ANALYSIS USING FACIAL EXPRESSION AND ACTIVITY RECOGNITION</w:t>
      </w:r>
    </w:p>
    <w:p>
      <w:pPr>
        <w:spacing w:after="360"/>
      </w:pPr>
      <w:r>
        <w:rPr>
          <w:i/>
          <w:color w:val="64748B"/>
          <w:sz w:val="22"/>
        </w:rPr>
        <w:t>Academic &amp; Enterprise Implementation Specification  |  Project 47 of 55</w:t>
      </w:r>
    </w:p>
    <w:p>
      <w:pPr>
        <w:pStyle w:val="Heading1"/>
        <w:spacing w:before="240" w:after="120"/>
      </w:pPr>
      <w:r>
        <w:t>1. Executive Abstract</w:t>
      </w:r>
    </w:p>
    <w:p>
      <w:pPr>
        <w:spacing w:line="276" w:lineRule="auto" w:after="280"/>
      </w:pPr>
      <w:r>
        <w:t>Traditional classroom evaluation generally relies on attendance and examination results, which do not provide continuous information about student engagement. This project proposes an AI-based classroom analytics system that estimates student engagement by combining facial expressions, head orientation, body activity, gaze direction, and classroom participation patterns. Video frames are processed to identify individual or group-level behavioral indicators while preserving privacy through anonymized student representations. A multimodal model combines these indicators to generate an engagement score instead of relying on facial expression alone. The system identifies patterns such as sustained attention, distraction, inactivity, and interaction during different portions of a lecture. An instructor dashboard visualizes engagement trends across the session and identifies time intervals where engagement significantly decreases. The system can then recommend interventions such as interactive questions, short activities, or topic transitions. The objective is not to judge students individually but to provide instructors with data-driven insights for improving teaching effectiveness.</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47 of 55</w:t>
            </w:r>
          </w:p>
        </w:tc>
      </w:tr>
      <w:tr>
        <w:tc>
          <w:tcPr>
            <w:tcW w:type="dxa" w:w="4320"/>
          </w:tcPr>
          <w:p>
            <w:r>
              <w:rPr>
                <w:b/>
              </w:rPr>
              <w:t>Default Service Port</w:t>
            </w:r>
          </w:p>
        </w:tc>
        <w:tc>
          <w:tcPr>
            <w:tcW w:type="dxa" w:w="4320"/>
          </w:tcPr>
          <w:p>
            <w:r>
              <w:t>http://localhost:5047</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