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50: AI-BASED HANDWRITTEN DOCUMENT RECOGNITION AND INFORMATION EXTRACTION USING DEEP LEARNING</w:t>
      </w:r>
    </w:p>
    <w:p>
      <w:pPr>
        <w:spacing w:after="360"/>
      </w:pPr>
      <w:r>
        <w:rPr>
          <w:i/>
          <w:color w:val="64748B"/>
          <w:sz w:val="22"/>
        </w:rPr>
        <w:t>Academic &amp; Enterprise Implementation Specification  |  Project 50 of 55</w:t>
      </w:r>
    </w:p>
    <w:p>
      <w:pPr>
        <w:pStyle w:val="Heading1"/>
        <w:spacing w:before="240" w:after="120"/>
      </w:pPr>
      <w:r>
        <w:t>1. Executive Abstract</w:t>
      </w:r>
    </w:p>
    <w:p>
      <w:pPr>
        <w:spacing w:line="276" w:lineRule="auto" w:after="280"/>
      </w:pPr>
      <w:r>
        <w:t>Handwritten documents contain valuable information but are difficult to process automatically because handwriting styles, layouts, and document structures vary significantly. This project proposes an intelligent document-processing system that combines handwritten text recognition, document layout analysis, and semantic information extraction. The system first identifies relevant regions such as names, dates, addresses, identifiers, signatures, and handwritten content before converting the handwriting into machine-readable text. A deep-learning recognition model handles variations in writing style, while a semantic extraction module maps recognized content into predefined information fields. The system also assigns confidence scores to extracted information and highlights uncertain regions for human verification. Instead of treating the document as a plain image-to-text conversion task, the proposed solution creates a structured digital representation that can be exported to databases or enterprise applications. This can reduce manual data-entry effort while maintaining a human verification layer for uncertain recognition results.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50 of 55</w:t>
            </w:r>
          </w:p>
        </w:tc>
      </w:tr>
      <w:tr>
        <w:tc>
          <w:tcPr>
            <w:tcW w:type="dxa" w:w="4320"/>
          </w:tcPr>
          <w:p>
            <w:r>
              <w:rPr>
                <w:b/>
              </w:rPr>
              <w:t>Default Service Port</w:t>
            </w:r>
          </w:p>
        </w:tc>
        <w:tc>
          <w:tcPr>
            <w:tcW w:type="dxa" w:w="4320"/>
          </w:tcPr>
          <w:p>
            <w:r>
              <w:t>http://localhost:5050</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