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52: AI-BASED CROWD DENSITY ESTIMATION AND ANOMALY DETECTION FOR PUBLIC SAFETY</w:t>
      </w:r>
    </w:p>
    <w:p>
      <w:pPr>
        <w:spacing w:after="360"/>
      </w:pPr>
      <w:r>
        <w:rPr>
          <w:i/>
          <w:color w:val="64748B"/>
          <w:sz w:val="22"/>
        </w:rPr>
        <w:t>Academic &amp; Enterprise Implementation Specification  |  Project 52 of 55</w:t>
      </w:r>
    </w:p>
    <w:p>
      <w:pPr>
        <w:pStyle w:val="Heading1"/>
        <w:spacing w:before="240" w:after="120"/>
      </w:pPr>
      <w:r>
        <w:t>1. Executive Abstract</w:t>
      </w:r>
    </w:p>
    <w:p>
      <w:pPr>
        <w:spacing w:line="276" w:lineRule="auto" w:after="280"/>
      </w:pPr>
      <w:r>
        <w:t>Managing large crowds is challenging because dangerous situations can develop rapidly before security personnel recognize them. This project proposes an intelligent video-analytics system that combines crowd density estimation, movement-pattern analysis, and abnormal-event detection. Instead of relying only on people counting, the system analyzes changes in crowd distribution, movement direction, local congestion, sudden dispersal, unusual gathering behavior, and restricted-area movement. A spatiotemporal model generates a dynamic crowd-risk score for different regions of a monitored area. When an abnormal pattern exceeds a predefined confidence threshold, the system generates an alert and identifies the affected region on a monitoring dashboard. Historical event data can also be used to identify recurring congestion locations and time periods. The system is designed to assist security personnel in prioritizing areas requiring attention and enabling early intervention during public events, transportation hubs, and other high-density environments.</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52 of 55</w:t>
            </w:r>
          </w:p>
        </w:tc>
      </w:tr>
      <w:tr>
        <w:tc>
          <w:tcPr>
            <w:tcW w:type="dxa" w:w="4320"/>
          </w:tcPr>
          <w:p>
            <w:r>
              <w:rPr>
                <w:b/>
              </w:rPr>
              <w:t>Default Service Port</w:t>
            </w:r>
          </w:p>
        </w:tc>
        <w:tc>
          <w:tcPr>
            <w:tcW w:type="dxa" w:w="4320"/>
          </w:tcPr>
          <w:p>
            <w:r>
              <w:t>http://localhost:5052</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