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54: AI-BASED WEATHER EVENT CLASSIFICATION AND SHORT-TERM PREDICTION USING DEEP LEARNING</w:t>
      </w:r>
    </w:p>
    <w:p>
      <w:pPr>
        <w:spacing w:after="360"/>
      </w:pPr>
      <w:r>
        <w:rPr>
          <w:i/>
          <w:color w:val="64748B"/>
          <w:sz w:val="22"/>
        </w:rPr>
        <w:t>Academic &amp; Enterprise Implementation Specification  |  Project 54 of 55</w:t>
      </w:r>
    </w:p>
    <w:p>
      <w:pPr>
        <w:pStyle w:val="Heading1"/>
        <w:spacing w:before="240" w:after="120"/>
      </w:pPr>
      <w:r>
        <w:t>1. Executive Abstract</w:t>
      </w:r>
    </w:p>
    <w:p>
      <w:pPr>
        <w:spacing w:line="276" w:lineRule="auto" w:after="280"/>
      </w:pPr>
      <w:r>
        <w:t>Weather systems can change rapidly, making short-term prediction difficult using isolated weather observations. This project proposes a deep-learning framework that combines historical meteorological measurements, temporal weather patterns, and optional satellite or radar-derived features to identify and forecast short-term weather events. Instead of predicting only temperature or rainfall, the system classifies events such as heavy rainfall, thunderstorms, high-wind conditions, and abnormal weather transitions. A temporal model learns relationships between consecutive observations and generates event probabilities for future time intervals. The system also provides confidence scores and visualizes the environmental variables contributing to each prediction. When the predicted probability of a significant event exceeds a configurable threshold, an early-warning notification is generated. The proposed platform can support local planning and preparedness by converting continuous weather observations into understandable short-term event forecasts.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54 of 55</w:t>
            </w:r>
          </w:p>
        </w:tc>
      </w:tr>
      <w:tr>
        <w:tc>
          <w:tcPr>
            <w:tcW w:type="dxa" w:w="4320"/>
          </w:tcPr>
          <w:p>
            <w:r>
              <w:rPr>
                <w:b/>
              </w:rPr>
              <w:t>Default Service Port</w:t>
            </w:r>
          </w:p>
        </w:tc>
        <w:tc>
          <w:tcPr>
            <w:tcW w:type="dxa" w:w="4320"/>
          </w:tcPr>
          <w:p>
            <w:r>
              <w:t>http://localhost:5054</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