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55: AI-BASED ACCIDENT DETECTION AND EMERGENCY ALERT SYSTEM USING COMPUTER VISION</w:t>
      </w:r>
    </w:p>
    <w:p>
      <w:pPr>
        <w:spacing w:after="360"/>
      </w:pPr>
      <w:r>
        <w:rPr>
          <w:i/>
          <w:color w:val="64748B"/>
          <w:sz w:val="22"/>
        </w:rPr>
        <w:t>Academic &amp; Enterprise Implementation Specification  |  Project 55 of 55</w:t>
      </w:r>
    </w:p>
    <w:p>
      <w:pPr>
        <w:pStyle w:val="Heading1"/>
        <w:spacing w:before="240" w:after="120"/>
      </w:pPr>
      <w:r>
        <w:t>1. Executive Abstract</w:t>
      </w:r>
    </w:p>
    <w:p>
      <w:pPr>
        <w:spacing w:line="276" w:lineRule="auto" w:after="280"/>
      </w:pPr>
      <w:r>
        <w:t>Road accidents often require immediate emergency intervention, but conventional accident reporting systems depend on witnesses or manual communication. This project proposes an intelligent computer-vision-based accident detection and emergency response system that continuously analyzes roadside or vehicle-camera video streams. Instead of detecting accidents solely from vehicle collisions, the proposed system combines vehicle trajectory changes, sudden deceleration, abnormal vehicle orientation, collision motion patterns, and post-collision immobility to distinguish genuine accidents from normal traffic events. A temporal deep-learning model analyzes consecutive frames and generates an accident confidence score. Once a high-confidence accident is identified, the system estimates the accident location and severity from visual evidence and automatically generates an emergency notification. The system can prioritize incidents based on severity and provide an event snapshot and confidence information to emergency personnel. A dashboard displays detected incidents, timestamps, locations, and response status.</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55 of 55</w:t>
            </w:r>
          </w:p>
        </w:tc>
      </w:tr>
      <w:tr>
        <w:tc>
          <w:tcPr>
            <w:tcW w:type="dxa" w:w="4320"/>
          </w:tcPr>
          <w:p>
            <w:r>
              <w:rPr>
                <w:b/>
              </w:rPr>
              <w:t>Default Service Port</w:t>
            </w:r>
          </w:p>
        </w:tc>
        <w:tc>
          <w:tcPr>
            <w:tcW w:type="dxa" w:w="4320"/>
          </w:tcPr>
          <w:p>
            <w:r>
              <w:t>http://localhost:5055</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