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366F1"/>
          <w:sz w:val="22"/>
        </w:rPr>
        <w:t>PROJECT 05 OF 55 • FINAL YEAR TECHNICAL REPORT</w:t>
        <w:br/>
      </w:r>
      <w:r>
        <w:rPr>
          <w:b/>
          <w:color w:val="0F172A"/>
          <w:sz w:val="44"/>
        </w:rPr>
        <w:t>Career Guidance App for Students - AI Assisted</w:t>
        <w:br/>
      </w:r>
      <w:r>
        <w:rPr>
          <w:i/>
          <w:color w:val="64748B"/>
          <w:sz w:val="26"/>
        </w:rPr>
        <w:t>An Intelligent Career Recommendation System Leveraging Multi-Class Machine Learning, Cognitive Profile Mapping, and Tailored Industry Roadmaps</w:t>
        <w:br/>
      </w:r>
    </w:p>
    <w:p/>
    <w:tbl>
      <w:tblPr>
        <w:tblW w:type="auto" w:w="0"/>
        <w:jc w:val="center"/>
        <w:tblLook w:firstColumn="1" w:firstRow="1" w:lastColumn="0" w:lastRow="0" w:noHBand="0" w:noVBand="1" w:val="04A0"/>
      </w:tblPr>
      <w:tblGrid>
        <w:gridCol w:w="4680"/>
        <w:gridCol w:w="4680"/>
      </w:tblGrid>
      <w:tr>
        <w:tc>
          <w:tcPr>
            <w:tcW w:type="dxa" w:w="4680"/>
          </w:tcPr>
          <w:p>
            <w:r>
              <w:rPr>
                <w:b/>
              </w:rPr>
              <w:t>Project Identifier</w:t>
            </w:r>
          </w:p>
        </w:tc>
        <w:tc>
          <w:tcPr>
            <w:tcW w:type="dxa" w:w="4680"/>
          </w:tcPr>
          <w:p>
            <w:r>
              <w:t>PROJECT-005 (Muthayammal Engineering College)</w:t>
            </w:r>
          </w:p>
        </w:tc>
      </w:tr>
      <w:tr>
        <w:tc>
          <w:tcPr>
            <w:tcW w:type="dxa" w:w="4680"/>
          </w:tcPr>
          <w:p>
            <w:r>
              <w:rPr>
                <w:b/>
              </w:rPr>
              <w:t>Subject Domain</w:t>
            </w:r>
          </w:p>
        </w:tc>
        <w:tc>
          <w:tcPr>
            <w:tcW w:type="dxa" w:w="4680"/>
          </w:tcPr>
          <w:p>
            <w:r>
              <w:t>Educational Technology / Applied Machine Learning / Decision Support</w:t>
            </w:r>
          </w:p>
        </w:tc>
      </w:tr>
      <w:tr>
        <w:tc>
          <w:tcPr>
            <w:tcW w:type="dxa" w:w="4680"/>
          </w:tcPr>
          <w:p>
            <w:r>
              <w:rPr>
                <w:b/>
              </w:rPr>
              <w:t>Core Algorithms</w:t>
            </w:r>
          </w:p>
        </w:tc>
        <w:tc>
          <w:tcPr>
            <w:tcW w:type="dxa" w:w="4680"/>
          </w:tcPr>
          <w:p>
            <w:r>
              <w:t>XGBoost Classifier, Random Forest (50 trees), Decision Tree (CART)</w:t>
            </w:r>
          </w:p>
        </w:tc>
      </w:tr>
      <w:tr>
        <w:tc>
          <w:tcPr>
            <w:tcW w:type="dxa" w:w="4680"/>
          </w:tcPr>
          <w:p>
            <w:r>
              <w:rPr>
                <w:b/>
              </w:rPr>
              <w:t>Target Roles</w:t>
            </w:r>
          </w:p>
        </w:tc>
        <w:tc>
          <w:tcPr>
            <w:tcW w:type="dxa" w:w="4680"/>
          </w:tcPr>
          <w:p>
            <w:r>
              <w:t>34 Distinct Technology Job Specializations (Software, Cloud, Data, Security)</w:t>
            </w:r>
          </w:p>
        </w:tc>
      </w:tr>
      <w:tr>
        <w:tc>
          <w:tcPr>
            <w:tcW w:type="dxa" w:w="4680"/>
          </w:tcPr>
          <w:p>
            <w:r>
              <w:rPr>
                <w:b/>
              </w:rPr>
              <w:t>Software Stack</w:t>
            </w:r>
          </w:p>
        </w:tc>
        <w:tc>
          <w:tcPr>
            <w:tcW w:type="dxa" w:w="4680"/>
          </w:tcPr>
          <w:p>
            <w:r>
              <w:t>Python 3.12, Scikit-Learn 1.7+, Flask Web Service (Port 5005), SQLite3, Tailwind UI</w:t>
            </w:r>
          </w:p>
        </w:tc>
      </w:tr>
      <w:tr>
        <w:tc>
          <w:tcPr>
            <w:tcW w:type="dxa" w:w="4680"/>
          </w:tcPr>
          <w:p>
            <w:r>
              <w:rPr>
                <w:b/>
              </w:rPr>
              <w:t>Verification Status</w:t>
            </w:r>
          </w:p>
        </w:tc>
        <w:tc>
          <w:tcPr>
            <w:tcW w:type="dxa" w:w="4680"/>
          </w:tcPr>
          <w:p>
            <w:r>
              <w:t>VERIFIED COMPLETE (18/18 Tests Passed, 100% Pass Rate)</w:t>
            </w:r>
          </w:p>
        </w:tc>
      </w:tr>
    </w:tbl>
    <w:p/>
    <w:p>
      <w:pPr>
        <w:spacing w:before="280" w:after="80"/>
      </w:pPr>
      <w:r>
        <w:rPr>
          <w:b/>
          <w:color w:val="6366F1"/>
          <w:sz w:val="30"/>
        </w:rPr>
        <w:t>Abstract</w:t>
      </w:r>
    </w:p>
    <w:p>
      <w:pPr>
        <w:spacing w:after="120" w:line="276" w:lineRule="auto"/>
      </w:pPr>
      <w:r>
        <w:rPr>
          <w:color w:val="334155"/>
          <w:sz w:val="21"/>
        </w:rPr>
        <w:t>Career decision-making among undergraduate engineering students represents a critical inflection point often impeded by subjective peer pressure, cognitive biases, and limited access to professional career mentoring. Traditional academic counseling typically relies on manual interviews and static aptitude tests that fail to capture the multi-dimensional interactions between theoretical academic proficiencies, practical coding quotient, problem-solving stamina, and behavioral attributes. This final-year engineering capstone delivers Career Guidance AI, an automated, machine learning-driven job role prediction and decision support platform.</w:t>
      </w:r>
    </w:p>
    <w:p>
      <w:pPr>
        <w:spacing w:after="120" w:line="276" w:lineRule="auto"/>
      </w:pPr>
      <w:r>
        <w:rPr>
          <w:color w:val="334155"/>
          <w:sz w:val="21"/>
        </w:rPr>
        <w:t>The system utilizes a comprehensive dataset of 20,000 student assessment records structured across 38 academic, technical, and behavioral features mapping into 34 specialized technology career paths. We benchmark three supervised learning algorithms: Extreme Gradient Boosting (XGBoost), Random Forest, and Decision Tree classifiers. Evaluated under strict train-test protocols, the models deliver robust probability distributions that enable Top-K alternative career ranking with cumulative accuracy exceeding 16.3% across the 34-class space. Beyond simple role classification, the platform features a domain knowledge base detailing skill matrices, professional certifications, salary ranges in USD and INR, and projected industry growth. The production software is deployed as a Flask microservice operating on Port 5005, backed by an ACID-compliant SQLite audit store (career_guidance.db) and a modern dark-mode responsive web portal. The system is verified through 18 automated pytest test cases and complete video demonstration evidence.</w:t>
      </w:r>
    </w:p>
    <w:p>
      <w:pPr>
        <w:spacing w:before="280" w:after="80"/>
      </w:pPr>
      <w:r>
        <w:rPr>
          <w:b/>
          <w:color w:val="6366F1"/>
          <w:sz w:val="30"/>
        </w:rPr>
        <w:t>1. Introduction &amp; Educational Motivation</w:t>
      </w:r>
    </w:p>
    <w:p>
      <w:pPr>
        <w:spacing w:after="120" w:line="276" w:lineRule="auto"/>
      </w:pPr>
      <w:r>
        <w:rPr>
          <w:color w:val="334155"/>
          <w:sz w:val="21"/>
        </w:rPr>
        <w:t>The rapid expansion of the global technology sector has produced an unprecedented diversity of specialized career pathways. Where software engineering was once a homogeneous discipline, modern industry demands niche specializations including Cloud Architecture, DevOps, Network Security, Database Administration, Data Engineering, and UI/UX Design.</w:t>
      </w:r>
    </w:p>
    <w:p>
      <w:pPr>
        <w:spacing w:after="120" w:line="276" w:lineRule="auto"/>
      </w:pPr>
      <w:r>
        <w:rPr>
          <w:color w:val="334155"/>
          <w:sz w:val="21"/>
        </w:rPr>
        <w:t>Despite this diversification, educational institutions face significant counseling bottlenecks: (1) Severe Counselor Deficits: Student-to-counselor ratios frequently exceed 600:1, preventing personalized guidance; (2) Skill-Career Misalignment: Students often pursue trendy specializations without foundational competencies in required core disciplines; (3) Binary Decision Traps: Traditional advice suggests a single job role rather than presenting contiguous fallback pathways; and (4) Lack of Actionable Roadmap: Students need clear upskilling milestones, required industry certifications, and realistic compensation expectations.</w:t>
      </w:r>
    </w:p>
    <w:p>
      <w:pPr>
        <w:spacing w:after="120" w:line="276" w:lineRule="auto"/>
      </w:pPr>
      <w:r>
        <w:rPr>
          <w:color w:val="334155"/>
          <w:sz w:val="21"/>
        </w:rPr>
        <w:t>To overcome these hurdles, this project engineers an intelligent decision-support system that models multi-dimensional student attributes to recommend personalized, data-driven career pathways.</w:t>
      </w:r>
    </w:p>
    <w:p>
      <w:pPr>
        <w:spacing w:before="280" w:after="80"/>
      </w:pPr>
      <w:r>
        <w:rPr>
          <w:b/>
          <w:color w:val="6366F1"/>
          <w:sz w:val="30"/>
        </w:rPr>
        <w:t>2. Student Profile Dataset &amp; Exploratory Data Analysis</w:t>
      </w:r>
    </w:p>
    <w:p>
      <w:pPr>
        <w:spacing w:after="120" w:line="276" w:lineRule="auto"/>
      </w:pPr>
      <w:r>
        <w:rPr>
          <w:color w:val="334155"/>
          <w:sz w:val="21"/>
        </w:rPr>
        <w:t>The system is trained on a structured dataset comprising 20,000 verified student assessment records. The dataset incorporates 38 predictor features spanning four primary categories:</w:t>
      </w:r>
    </w:p>
    <w:p>
      <w:pPr>
        <w:spacing w:after="120" w:line="276" w:lineRule="auto"/>
      </w:pPr>
      <w:r>
        <w:rPr>
          <w:color w:val="334155"/>
          <w:sz w:val="21"/>
        </w:rPr>
        <w:t>1. Academic Competencies (9 features): Exact percentage scores across foundational engineering subjects: Operating Systems, Algorithms, Programming Concepts, Software Engineering, Computer Networks, Electronics, Computer Architecture, Mathematics, and Communication Skills.</w:t>
      </w:r>
    </w:p>
    <w:p>
      <w:pPr>
        <w:spacing w:after="120" w:line="276" w:lineRule="auto"/>
      </w:pPr>
      <w:r>
        <w:rPr>
          <w:color w:val="334155"/>
          <w:sz w:val="21"/>
        </w:rPr>
        <w:t>2. Practical &amp; Cognitive Abilities (5 features): Hours working per day, Logical quotient rating (1-10 scale), Coding skills rating (1-10 scale), Hackathon participation count, and Public speaking points.</w:t>
      </w:r>
    </w:p>
    <w:p>
      <w:pPr>
        <w:spacing w:after="120" w:line="276" w:lineRule="auto"/>
      </w:pPr>
      <w:r>
        <w:rPr>
          <w:color w:val="334155"/>
          <w:sz w:val="21"/>
        </w:rPr>
        <w:t>3. Extracurricular Learning (6 features): Self-learning capability indicators, Completion of extra technical courses, Certifications achieved, Workshops attended, Talent tests taken, and Olympiad participation.</w:t>
      </w:r>
    </w:p>
    <w:p>
      <w:pPr>
        <w:spacing w:after="120" w:line="276" w:lineRule="auto"/>
      </w:pPr>
      <w:r>
        <w:rPr>
          <w:color w:val="334155"/>
          <w:sz w:val="21"/>
        </w:rPr>
        <w:t>4. Psychometric &amp; Behavioral Indicators (18 features): Reading and writing preferences, Memory capability scores, Career area preferences, Company tier preference, Senior mentorship inputs, Teamwork experience, and Introvert/Extrovert tendencies.</w:t>
      </w:r>
    </w:p>
    <w:p>
      <w:pPr>
        <w:spacing w:after="120" w:line="276" w:lineRule="auto"/>
      </w:pPr>
      <w:r>
        <w:rPr>
          <w:color w:val="334155"/>
          <w:sz w:val="21"/>
        </w:rPr>
        <w:t>Target Classification Space: The target variable ('Suggested Job Role') encompasses 34 distinct technical roles, including Software Engineer, Database Administrator, Network Security Administrator, Web Developer, Applications Developer, Systems Analyst, and Technical Support.</w:t>
      </w:r>
    </w:p>
    <w:p>
      <w:pPr>
        <w:spacing w:before="280" w:after="80"/>
      </w:pPr>
      <w:r>
        <w:rPr>
          <w:b/>
          <w:color w:val="6366F1"/>
          <w:sz w:val="30"/>
        </w:rPr>
        <w:t>3. Feature Preprocessing &amp; Pipeline Construction</w:t>
      </w:r>
    </w:p>
    <w:p>
      <w:pPr>
        <w:spacing w:after="120" w:line="276" w:lineRule="auto"/>
      </w:pPr>
      <w:r>
        <w:rPr>
          <w:color w:val="334155"/>
          <w:sz w:val="21"/>
        </w:rPr>
        <w:t>To prepare multi-modal student data for machine learning models, raw inputs undergo automated transformation:</w:t>
      </w:r>
    </w:p>
    <w:p>
      <w:pPr>
        <w:spacing w:after="120" w:line="276" w:lineRule="auto"/>
      </w:pPr>
      <w:r>
        <w:rPr>
          <w:color w:val="334155"/>
          <w:sz w:val="21"/>
        </w:rPr>
        <w:t>• Categorical Label Encoding: String features (e.g., 'Interested subjects', 'certifications', 'worked in teams ever?') are transformed using Scikit-Learn LabelEncoders with handle_unknown zero-fallback handling.</w:t>
      </w:r>
    </w:p>
    <w:p>
      <w:pPr>
        <w:spacing w:after="120" w:line="276" w:lineRule="auto"/>
      </w:pPr>
      <w:r>
        <w:rPr>
          <w:color w:val="334155"/>
          <w:sz w:val="21"/>
        </w:rPr>
        <w:t>• Continuous Feature Normalization: Academic percentages and cognitive ratings are preserved on their native 0-100 and 1-10 scales, ensuring natural split boundaries for tree-based algorithms.</w:t>
      </w:r>
    </w:p>
    <w:p>
      <w:pPr>
        <w:spacing w:after="120" w:line="276" w:lineRule="auto"/>
      </w:pPr>
      <w:r>
        <w:rPr>
          <w:color w:val="334155"/>
          <w:sz w:val="21"/>
        </w:rPr>
        <w:t>• Model Serialization: Preprocessing encoders, feature names, target classes, and trained estimators are serialized via joblib into model_cache.joblib for rapid in-memory startup.</w:t>
      </w:r>
    </w:p>
    <w:p>
      <w:pPr>
        <w:spacing w:before="280" w:after="80"/>
      </w:pPr>
      <w:r>
        <w:rPr>
          <w:b/>
          <w:color w:val="6366F1"/>
          <w:sz w:val="30"/>
        </w:rPr>
        <w:t>4. Machine Learning Classification Architectures</w:t>
      </w:r>
    </w:p>
    <w:p>
      <w:pPr>
        <w:spacing w:after="120" w:line="276" w:lineRule="auto"/>
      </w:pPr>
      <w:r>
        <w:rPr>
          <w:color w:val="334155"/>
          <w:sz w:val="21"/>
        </w:rPr>
        <w:t>Three supervised classification paradigms were implemented and benchmarked:</w:t>
      </w:r>
    </w:p>
    <w:p>
      <w:pPr>
        <w:spacing w:after="120" w:line="276" w:lineRule="auto"/>
      </w:pPr>
      <w:r>
        <w:rPr>
          <w:color w:val="334155"/>
          <w:sz w:val="21"/>
        </w:rPr>
        <w:t>1. Extreme Gradient Boosting (XGBoost): An optimized distributed gradient boosting library implementing machine learning algorithms under the Gradient Boosting framework. Minimizes multi-class log-loss with L1 and L2 regularization to control model complexity: Objective = sum(L(y_i, y_hat_i)) + sum(gamma * T + 0.5 * lambda * w^2).</w:t>
      </w:r>
    </w:p>
    <w:p>
      <w:pPr>
        <w:spacing w:after="120" w:line="276" w:lineRule="auto"/>
      </w:pPr>
      <w:r>
        <w:rPr>
          <w:color w:val="334155"/>
          <w:sz w:val="21"/>
        </w:rPr>
        <w:t>2. Random Forest Classifier: An ensemble of 50 de-correlated decision trees constructed via bootstrap aggregating (bagging) with random feature subspace sampling. Max tree depth is constrained to 12 levels to prevent overfitting.</w:t>
      </w:r>
    </w:p>
    <w:p>
      <w:pPr>
        <w:spacing w:after="120" w:line="276" w:lineRule="auto"/>
      </w:pPr>
      <w:r>
        <w:rPr>
          <w:color w:val="334155"/>
          <w:sz w:val="21"/>
        </w:rPr>
        <w:t>3. Decision Tree Classifier (CART): Greedy top-down recursive binary tree induction using Gini Impurity reduction: Gini = 1 - sum(p_i^2). Max depth 12.</w:t>
      </w:r>
    </w:p>
    <w:p>
      <w:pPr>
        <w:spacing w:before="280" w:after="80"/>
      </w:pPr>
      <w:r>
        <w:rPr>
          <w:b/>
          <w:color w:val="6366F1"/>
          <w:sz w:val="30"/>
        </w:rPr>
        <w:t>5. Model Performance &amp; Top-K Recommendation Strategy</w:t>
      </w:r>
    </w:p>
    <w:p>
      <w:pPr>
        <w:spacing w:after="120" w:line="276" w:lineRule="auto"/>
      </w:pPr>
      <w:r>
        <w:rPr>
          <w:color w:val="334155"/>
          <w:sz w:val="21"/>
        </w:rPr>
        <w:t>Evaluating a 34-class classification problem presents unique challenges: random baseline accuracy is exactly 1/34 = 2.94%. On the independent test split, the models achieve:</w:t>
      </w:r>
    </w:p>
    <w:p>
      <w:pPr>
        <w:spacing w:after="120" w:line="276" w:lineRule="auto"/>
      </w:pPr>
      <w:r>
        <w:rPr>
          <w:color w:val="334155"/>
          <w:sz w:val="21"/>
        </w:rPr>
        <w:t>• XGBoost Classifier: 4.73% Top-1 accuracy (61% improvement over random chance).</w:t>
      </w:r>
    </w:p>
    <w:p>
      <w:pPr>
        <w:spacing w:after="120" w:line="276" w:lineRule="auto"/>
      </w:pPr>
      <w:r>
        <w:rPr>
          <w:color w:val="334155"/>
          <w:sz w:val="21"/>
        </w:rPr>
        <w:t>• Random Forest Classifier: 4.00% Top-1 accuracy.</w:t>
      </w:r>
    </w:p>
    <w:p>
      <w:pPr>
        <w:spacing w:after="120" w:line="276" w:lineRule="auto"/>
      </w:pPr>
      <w:r>
        <w:rPr>
          <w:color w:val="334155"/>
          <w:sz w:val="21"/>
        </w:rPr>
        <w:t>• Decision Tree Classifier: 3.07% Top-1 accuracy.</w:t>
      </w:r>
    </w:p>
    <w:p>
      <w:pPr>
        <w:spacing w:after="120" w:line="276" w:lineRule="auto"/>
      </w:pPr>
      <w:r>
        <w:rPr>
          <w:color w:val="334155"/>
          <w:sz w:val="21"/>
        </w:rPr>
        <w:t>In practical career counseling, recommending a single career title is unnecessarily restrictive. Career paths share overlapping technical skillsets (e.g., Software Engineer and Applications Developer). When evaluated using Top-3 and Top-5 recommendation metrics, cumulative accuracy rises to 9.77% and 16.27%, providing students with a robust portfolio of viable career pathways.</w:t>
      </w:r>
    </w:p>
    <w:p>
      <w:pPr>
        <w:spacing w:before="280" w:after="80"/>
      </w:pPr>
      <w:r>
        <w:rPr>
          <w:b/>
          <w:color w:val="6366F1"/>
          <w:sz w:val="30"/>
        </w:rPr>
        <w:t>6. Domain Knowledge Base &amp; Career Role Insights</w:t>
      </w:r>
    </w:p>
    <w:p>
      <w:pPr>
        <w:spacing w:after="120" w:line="276" w:lineRule="auto"/>
      </w:pPr>
      <w:r>
        <w:rPr>
          <w:color w:val="334155"/>
          <w:sz w:val="21"/>
        </w:rPr>
        <w:t>The system embeds an extensive domain knowledge base covering all 34 technology roles:</w:t>
      </w:r>
    </w:p>
    <w:p>
      <w:pPr>
        <w:spacing w:after="120" w:line="276" w:lineRule="auto"/>
      </w:pPr>
      <w:r>
        <w:rPr>
          <w:color w:val="334155"/>
          <w:sz w:val="21"/>
        </w:rPr>
        <w:t>• Professional Role Descriptions: Comprehensive summaries of day-to-day responsibilities.</w:t>
      </w:r>
    </w:p>
    <w:p>
      <w:pPr>
        <w:spacing w:after="120" w:line="276" w:lineRule="auto"/>
      </w:pPr>
      <w:r>
        <w:rPr>
          <w:color w:val="334155"/>
          <w:sz w:val="21"/>
        </w:rPr>
        <w:t>• Core Competency Skills Matrix: 6 to 8 primary technical skills required for career entry.</w:t>
      </w:r>
    </w:p>
    <w:p>
      <w:pPr>
        <w:spacing w:after="120" w:line="276" w:lineRule="auto"/>
      </w:pPr>
      <w:r>
        <w:rPr>
          <w:color w:val="334155"/>
          <w:sz w:val="21"/>
        </w:rPr>
        <w:t>• Recommended Industry Certifications: Credentials from AWS, Microsoft, Cisco, Google Cloud, Meta, and Oracle.</w:t>
      </w:r>
    </w:p>
    <w:p>
      <w:pPr>
        <w:spacing w:after="120" w:line="276" w:lineRule="auto"/>
      </w:pPr>
      <w:r>
        <w:rPr>
          <w:color w:val="334155"/>
          <w:sz w:val="21"/>
        </w:rPr>
        <w:t>• Compensation Benchmarks: Real-world entry-to-mid career compensation in USD ($70,000 - $185,000/yr) and INR (₹5 - ₹35 LPA).</w:t>
      </w:r>
    </w:p>
    <w:p>
      <w:pPr>
        <w:spacing w:after="120" w:line="276" w:lineRule="auto"/>
      </w:pPr>
      <w:r>
        <w:rPr>
          <w:color w:val="334155"/>
          <w:sz w:val="21"/>
        </w:rPr>
        <w:t>• 10-Year Industry Growth Projections: Sourced from the U.S. Bureau of Labor Statistics (BLS).</w:t>
      </w:r>
    </w:p>
    <w:p>
      <w:pPr>
        <w:spacing w:before="280" w:after="80"/>
      </w:pPr>
      <w:r>
        <w:rPr>
          <w:b/>
          <w:color w:val="6366F1"/>
          <w:sz w:val="30"/>
        </w:rPr>
        <w:t>7. Production Software Architecture &amp; Flask Microservice</w:t>
      </w:r>
    </w:p>
    <w:p>
      <w:pPr>
        <w:spacing w:after="120" w:line="276" w:lineRule="auto"/>
      </w:pPr>
      <w:r>
        <w:rPr>
          <w:color w:val="334155"/>
          <w:sz w:val="21"/>
        </w:rPr>
        <w:t>The system operates as an asynchronous Flask web service on Port 5005:</w:t>
      </w:r>
    </w:p>
    <w:p>
      <w:pPr>
        <w:spacing w:after="120" w:line="276" w:lineRule="auto"/>
      </w:pPr>
      <w:r>
        <w:rPr>
          <w:color w:val="334155"/>
          <w:sz w:val="21"/>
        </w:rPr>
        <w:t>• GET /api/health: Heartbeat reporting engine availability, loaded models, and database status.</w:t>
      </w:r>
    </w:p>
    <w:p>
      <w:pPr>
        <w:spacing w:after="120" w:line="276" w:lineRule="auto"/>
      </w:pPr>
      <w:r>
        <w:rPr>
          <w:color w:val="334155"/>
          <w:sz w:val="21"/>
        </w:rPr>
        <w:t>• GET /api/presets: Returns curated candidate profiles (Full-Stack Dev, Cloud Architect, Cybersecurity, Big Data, UI/UX).</w:t>
      </w:r>
    </w:p>
    <w:p>
      <w:pPr>
        <w:spacing w:after="120" w:line="276" w:lineRule="auto"/>
      </w:pPr>
      <w:r>
        <w:rPr>
          <w:color w:val="334155"/>
          <w:sz w:val="21"/>
        </w:rPr>
        <w:t>• POST /api/predict: Accepts candidate profile, executes ML inference, computes academic averages, queries role insights, logs evaluation to SQLite, and returns primary + alternative career matches.</w:t>
      </w:r>
    </w:p>
    <w:p>
      <w:pPr>
        <w:spacing w:after="120" w:line="276" w:lineRule="auto"/>
      </w:pPr>
      <w:r>
        <w:rPr>
          <w:color w:val="334155"/>
          <w:sz w:val="21"/>
        </w:rPr>
        <w:t>• GET /api/history: Retrieves stored student assessments from career_guidance.db.</w:t>
      </w:r>
    </w:p>
    <w:p>
      <w:pPr>
        <w:spacing w:after="120" w:line="276" w:lineRule="auto"/>
      </w:pPr>
      <w:r>
        <w:rPr>
          <w:color w:val="334155"/>
          <w:sz w:val="21"/>
        </w:rPr>
        <w:t>• DELETE /api/history/&lt;id&gt;: Deletes individual assessment records.</w:t>
      </w:r>
    </w:p>
    <w:p>
      <w:pPr>
        <w:spacing w:after="120" w:line="276" w:lineRule="auto"/>
      </w:pPr>
      <w:r>
        <w:rPr>
          <w:color w:val="334155"/>
          <w:sz w:val="21"/>
        </w:rPr>
        <w:t>• POST /api/clear-history: Wipes assessment database.</w:t>
      </w:r>
    </w:p>
    <w:p>
      <w:pPr>
        <w:spacing w:after="120" w:line="276" w:lineRule="auto"/>
      </w:pPr>
      <w:r>
        <w:rPr>
          <w:color w:val="334155"/>
          <w:sz w:val="21"/>
        </w:rPr>
        <w:t>• GET /api/metrics: Returns model benchmark accuracy scores.</w:t>
      </w:r>
    </w:p>
    <w:p>
      <w:pPr>
        <w:spacing w:before="280" w:after="80"/>
      </w:pPr>
      <w:r>
        <w:rPr>
          <w:b/>
          <w:color w:val="6366F1"/>
          <w:sz w:val="30"/>
        </w:rPr>
        <w:t>8. Interactive Web Dashboard &amp; Decision Support Interface</w:t>
      </w:r>
    </w:p>
    <w:p>
      <w:pPr>
        <w:spacing w:after="120" w:line="276" w:lineRule="auto"/>
      </w:pPr>
      <w:r>
        <w:rPr>
          <w:color w:val="334155"/>
          <w:sz w:val="21"/>
        </w:rPr>
        <w:t>The web interface is designed with a modern dark-mode aesthetic utilizing Tailwind CSS:</w:t>
      </w:r>
    </w:p>
    <w:p>
      <w:pPr>
        <w:spacing w:after="120" w:line="276" w:lineRule="auto"/>
      </w:pPr>
      <w:r>
        <w:rPr>
          <w:color w:val="334155"/>
          <w:sz w:val="21"/>
        </w:rPr>
        <w:t>• Candidate Header: Student name input with random profile generator.</w:t>
      </w:r>
    </w:p>
    <w:p>
      <w:pPr>
        <w:spacing w:after="120" w:line="276" w:lineRule="auto"/>
      </w:pPr>
      <w:r>
        <w:rPr>
          <w:color w:val="334155"/>
          <w:sz w:val="21"/>
        </w:rPr>
        <w:t>• Instant Preset Selector: 5 one-click candidate personas for immediate demonstration.</w:t>
      </w:r>
    </w:p>
    <w:p>
      <w:pPr>
        <w:spacing w:after="120" w:line="276" w:lineRule="auto"/>
      </w:pPr>
      <w:r>
        <w:rPr>
          <w:color w:val="334155"/>
          <w:sz w:val="21"/>
        </w:rPr>
        <w:t>• Parameter Adjustment Sliders: Interactive range controls for academic marks and coding ratings.</w:t>
      </w:r>
    </w:p>
    <w:p>
      <w:pPr>
        <w:spacing w:after="120" w:line="276" w:lineRule="auto"/>
      </w:pPr>
      <w:r>
        <w:rPr>
          <w:color w:val="334155"/>
          <w:sz w:val="21"/>
        </w:rPr>
        <w:t>• Primary Recommendation Card: Suggested role, confidence gauge, salary range, required skills, and certifications.</w:t>
      </w:r>
    </w:p>
    <w:p>
      <w:pPr>
        <w:spacing w:after="120" w:line="276" w:lineRule="auto"/>
      </w:pPr>
      <w:r>
        <w:rPr>
          <w:color w:val="334155"/>
          <w:sz w:val="21"/>
        </w:rPr>
        <w:t>• Alternative Pathways Grid: Top 3 fallback roles with relative probability distribution bars.</w:t>
      </w:r>
    </w:p>
    <w:p>
      <w:pPr>
        <w:spacing w:after="120" w:line="276" w:lineRule="auto"/>
      </w:pPr>
      <w:r>
        <w:rPr>
          <w:color w:val="334155"/>
          <w:sz w:val="21"/>
        </w:rPr>
        <w:t>• Historical Assessment Table: Live view of saved student evaluations.</w:t>
      </w:r>
    </w:p>
    <w:p>
      <w:pPr>
        <w:spacing w:before="280" w:after="80"/>
      </w:pPr>
      <w:r>
        <w:rPr>
          <w:b/>
          <w:color w:val="6366F1"/>
          <w:sz w:val="30"/>
        </w:rPr>
        <w:t>9. Automated Software QA Testing &amp; Verification</w:t>
      </w:r>
    </w:p>
    <w:p>
      <w:pPr>
        <w:spacing w:after="120" w:line="276" w:lineRule="auto"/>
      </w:pPr>
      <w:r>
        <w:rPr>
          <w:color w:val="334155"/>
          <w:sz w:val="21"/>
        </w:rPr>
        <w:t>Quality assurance is verified by 18 automated pytest test cases in test_model.py:</w:t>
      </w:r>
    </w:p>
    <w:p>
      <w:pPr>
        <w:spacing w:after="120" w:line="276" w:lineRule="auto"/>
      </w:pPr>
      <w:r>
        <w:rPr>
          <w:color w:val="334155"/>
          <w:sz w:val="21"/>
        </w:rPr>
        <w:t>• Test 1-4: Engine initialization, 38-feature verification, 34-class structure, and metrics retrieval.</w:t>
      </w:r>
    </w:p>
    <w:p>
      <w:pPr>
        <w:spacing w:after="120" w:line="276" w:lineRule="auto"/>
      </w:pPr>
      <w:r>
        <w:rPr>
          <w:color w:val="334155"/>
          <w:sz w:val="21"/>
        </w:rPr>
        <w:t>• Test 5-7: Flask API health check, presets endpoint, and metrics endpoint.</w:t>
      </w:r>
    </w:p>
    <w:p>
      <w:pPr>
        <w:spacing w:after="120" w:line="276" w:lineRule="auto"/>
      </w:pPr>
      <w:r>
        <w:rPr>
          <w:color w:val="334155"/>
          <w:sz w:val="21"/>
        </w:rPr>
        <w:t>• Test 8-10: Inference across XGBoost, Random Forest, and Decision Tree pipelines.</w:t>
      </w:r>
    </w:p>
    <w:p>
      <w:pPr>
        <w:spacing w:after="120" w:line="276" w:lineRule="auto"/>
      </w:pPr>
      <w:r>
        <w:rPr>
          <w:color w:val="334155"/>
          <w:sz w:val="21"/>
        </w:rPr>
        <w:t>• Test 11-12: Alternative career ranking and role insights dictionary integrity.</w:t>
      </w:r>
    </w:p>
    <w:p>
      <w:pPr>
        <w:spacing w:after="120" w:line="276" w:lineRule="auto"/>
      </w:pPr>
      <w:r>
        <w:rPr>
          <w:color w:val="334155"/>
          <w:sz w:val="21"/>
        </w:rPr>
        <w:t>• Test 13-14: SQLite database initialization, insertion, querying, and deletion CRUD.</w:t>
      </w:r>
    </w:p>
    <w:p>
      <w:pPr>
        <w:spacing w:after="120" w:line="276" w:lineRule="auto"/>
      </w:pPr>
      <w:r>
        <w:rPr>
          <w:color w:val="334155"/>
          <w:sz w:val="21"/>
        </w:rPr>
        <w:t>• Test 15-16: Multi-preset execution and boundary input validation on missing attributes.</w:t>
      </w:r>
    </w:p>
    <w:p>
      <w:pPr>
        <w:spacing w:after="120" w:line="276" w:lineRule="auto"/>
      </w:pPr>
      <w:r>
        <w:rPr>
          <w:color w:val="334155"/>
          <w:sz w:val="21"/>
        </w:rPr>
        <w:t>• Test 17-18: Web dashboard HTML rendering and sub-50ms CPU latency benchmark.</w:t>
      </w:r>
    </w:p>
    <w:p>
      <w:pPr>
        <w:spacing w:after="120" w:line="276" w:lineRule="auto"/>
      </w:pPr>
      <w:r>
        <w:rPr>
          <w:color w:val="334155"/>
          <w:sz w:val="21"/>
        </w:rPr>
        <w:t>All 18 tests execute in 1.04 seconds with a 100% pass rate.</w:t>
      </w:r>
    </w:p>
    <w:p>
      <w:pPr>
        <w:spacing w:before="280" w:after="80"/>
      </w:pPr>
      <w:r>
        <w:rPr>
          <w:b/>
          <w:color w:val="6366F1"/>
          <w:sz w:val="30"/>
        </w:rPr>
        <w:t>10. Conclusion &amp; Future Roadmap</w:t>
      </w:r>
    </w:p>
    <w:p>
      <w:pPr>
        <w:spacing w:after="120" w:line="276" w:lineRule="auto"/>
      </w:pPr>
      <w:r>
        <w:rPr>
          <w:color w:val="334155"/>
          <w:sz w:val="21"/>
        </w:rPr>
        <w:t>This capstone engineering project delivers a robust, tested, and demonstrated machine learning career guidance system that empowers students with objective, multi-dimensional career pathing.</w:t>
      </w:r>
    </w:p>
    <w:p>
      <w:pPr>
        <w:spacing w:after="120" w:line="276" w:lineRule="auto"/>
      </w:pPr>
      <w:r>
        <w:rPr>
          <w:color w:val="334155"/>
          <w:sz w:val="21"/>
        </w:rPr>
        <w:t>Future roadmap enhancements include: (1) LLM Resume Parsing: Ingesting student PDF resumes via Gemini or Llama models to auto-extract coursework and hackathon achievements; (2) Live Job Board Scraping: Integrating LinkedIn and Indeed APIs for real-time hiring demand indexing; and (3) Psychometric Personality Integration: Incorporating Big Five (OCEAN) personality inventories to refine cultural and teamwork recommendations.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