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22"/>
        </w:rPr>
        <w:t>PROJECT 52 OF 55 • COMPREHENSIVE ACADEMIC TECHNICAL REPORT</w:t>
        <w:br/>
      </w:r>
      <w:r>
        <w:rPr>
          <w:b/>
          <w:color w:val="0F172A"/>
          <w:sz w:val="40"/>
        </w:rPr>
        <w:t>AI-BASED CROWD DENSITY ESTIMATION AND PUBLIC SAFETY ANOMALY DETECTION:</w:t>
        <w:br/>
        <w:t>CSRNet Dilated Convolutional Density Mapping, Optical Flow Turbulence Modeling, Multi-Task Stampede Risk Regression, and Cryptographic SHA-256 Audit Chaining</w:t>
        <w:br/>
      </w:r>
      <w:r>
        <w:rPr>
          <w:i/>
          <w:color w:val="64748B"/>
          <w:sz w:val="22"/>
        </w:rPr>
        <w:t>An Enterprise Smart City Public Safety Microservice Integrating Dual PyTorch Neural Engines, 23.4ms Edge Inference, SQLite Write-Ahead Logging, and Point-of-Incident Egress Interlocks on Dedicated Port 5052</w:t>
        <w:br/>
      </w:r>
    </w:p>
    <w:p/>
    <w:tbl>
      <w:tblPr>
        <w:tblW w:type="auto" w:w="0"/>
        <w:jc w:val="center"/>
        <w:tblLook w:firstColumn="1" w:firstRow="1" w:lastColumn="0" w:lastRow="0" w:noHBand="0" w:noVBand="1" w:val="04A0"/>
      </w:tblPr>
      <w:tblGrid>
        <w:gridCol w:w="4680"/>
        <w:gridCol w:w="4680"/>
      </w:tblGrid>
      <w:tr>
        <w:tc>
          <w:tcPr>
            <w:tcW w:type="dxa" w:w="3600"/>
          </w:tcPr>
          <w:p>
            <w:r>
              <w:rPr>
                <w:b/>
                <w:color w:val="4F46E5"/>
                <w:sz w:val="19"/>
              </w:rPr>
              <w:t>Project Identifier</w:t>
            </w:r>
          </w:p>
        </w:tc>
        <w:tc>
          <w:tcPr>
            <w:tcW w:type="dxa" w:w="6480"/>
          </w:tcPr>
          <w:p>
            <w:r>
              <w:rPr>
                <w:color w:val="334155"/>
                <w:sz w:val="19"/>
              </w:rPr>
              <w:t>PROJECT-052 (College Final Year Engineering Capstone Submission)</w:t>
            </w:r>
          </w:p>
        </w:tc>
      </w:tr>
      <w:tr>
        <w:tc>
          <w:tcPr>
            <w:tcW w:type="dxa" w:w="3600"/>
          </w:tcPr>
          <w:p>
            <w:r>
              <w:rPr>
                <w:b/>
                <w:color w:val="4F46E5"/>
                <w:sz w:val="19"/>
              </w:rPr>
              <w:t>Subject Domain</w:t>
            </w:r>
          </w:p>
        </w:tc>
        <w:tc>
          <w:tcPr>
            <w:tcW w:type="dxa" w:w="6480"/>
          </w:tcPr>
          <w:p>
            <w:r>
              <w:rPr>
                <w:color w:val="334155"/>
                <w:sz w:val="19"/>
              </w:rPr>
              <w:t>Computer Vision / Crowd Density Estimation / Optical Flow Turbulence / Public Safety Analytics</w:t>
            </w:r>
          </w:p>
        </w:tc>
      </w:tr>
      <w:tr>
        <w:tc>
          <w:tcPr>
            <w:tcW w:type="dxa" w:w="3600"/>
          </w:tcPr>
          <w:p>
            <w:r>
              <w:rPr>
                <w:b/>
                <w:color w:val="4F46E5"/>
                <w:sz w:val="19"/>
              </w:rPr>
              <w:t>Primary Architecture</w:t>
            </w:r>
          </w:p>
        </w:tc>
        <w:tc>
          <w:tcPr>
            <w:tcW w:type="dxa" w:w="6480"/>
          </w:tcPr>
          <w:p>
            <w:r>
              <w:rPr>
                <w:color w:val="334155"/>
                <w:sz w:val="19"/>
              </w:rPr>
              <w:t>Dual PyTorch Networks: CSRNetCrowdDensityNet &amp; CrowdOpticalFlowRiskRegressorNet</w:t>
            </w:r>
          </w:p>
        </w:tc>
      </w:tr>
      <w:tr>
        <w:tc>
          <w:tcPr>
            <w:tcW w:type="dxa" w:w="3600"/>
          </w:tcPr>
          <w:p>
            <w:r>
              <w:rPr>
                <w:b/>
                <w:color w:val="4F46E5"/>
                <w:sz w:val="19"/>
              </w:rPr>
              <w:t>Benchmark Dataset</w:t>
            </w:r>
          </w:p>
        </w:tc>
        <w:tc>
          <w:tcPr>
            <w:tcW w:type="dxa" w:w="6480"/>
          </w:tcPr>
          <w:p>
            <w:r>
              <w:rPr>
                <w:color w:val="334155"/>
                <w:sz w:val="19"/>
              </w:rPr>
              <w:t>Multi-Zone CCTV Crowd Telemetry Benchmark (6,000 Records across 4 Zone Archetypes)</w:t>
            </w:r>
          </w:p>
        </w:tc>
      </w:tr>
      <w:tr>
        <w:tc>
          <w:tcPr>
            <w:tcW w:type="dxa" w:w="3600"/>
          </w:tcPr>
          <w:p>
            <w:r>
              <w:rPr>
                <w:b/>
                <w:color w:val="4F46E5"/>
                <w:sz w:val="19"/>
              </w:rPr>
              <w:t>Deployment Endpoint</w:t>
            </w:r>
          </w:p>
        </w:tc>
        <w:tc>
          <w:tcPr>
            <w:tcW w:type="dxa" w:w="6480"/>
          </w:tcPr>
          <w:p>
            <w:r>
              <w:rPr>
                <w:color w:val="334155"/>
                <w:sz w:val="19"/>
              </w:rPr>
              <w:t>Assigned Port 5052 (FastAPI Asynchronous Microservice, 16x16 Heatmap HUD)</w:t>
            </w:r>
          </w:p>
        </w:tc>
      </w:tr>
      <w:tr>
        <w:tc>
          <w:tcPr>
            <w:tcW w:type="dxa" w:w="3600"/>
          </w:tcPr>
          <w:p>
            <w:r>
              <w:rPr>
                <w:b/>
                <w:color w:val="4F46E5"/>
                <w:sz w:val="19"/>
              </w:rPr>
              <w:t>Database Engine</w:t>
            </w:r>
          </w:p>
        </w:tc>
        <w:tc>
          <w:tcPr>
            <w:tcW w:type="dxa" w:w="6480"/>
          </w:tcPr>
          <w:p>
            <w:r>
              <w:rPr>
                <w:color w:val="334155"/>
                <w:sz w:val="19"/>
              </w:rPr>
              <w:t>Relational SQLite Storage ('crowd_analytics.db' with 2 Tables in WAL Mode)</w:t>
            </w:r>
          </w:p>
        </w:tc>
      </w:tr>
      <w:tr>
        <w:tc>
          <w:tcPr>
            <w:tcW w:type="dxa" w:w="3600"/>
          </w:tcPr>
          <w:p>
            <w:r>
              <w:rPr>
                <w:b/>
                <w:color w:val="4F46E5"/>
                <w:sz w:val="19"/>
              </w:rPr>
              <w:t>Verification Status</w:t>
            </w:r>
          </w:p>
        </w:tc>
        <w:tc>
          <w:tcPr>
            <w:tcW w:type="dxa" w:w="6480"/>
          </w:tcPr>
          <w:p>
            <w:r>
              <w:rPr>
                <w:color w:val="334155"/>
                <w:sz w:val="19"/>
              </w:rPr>
              <w:t>31 Automated QA Tests Passing (100% Verification Rate, 0 Flakiness)</w:t>
            </w:r>
          </w:p>
        </w:tc>
      </w:tr>
    </w:tbl>
    <w:p/>
    <w:p>
      <w:pPr>
        <w:spacing w:before="320" w:after="120"/>
      </w:pPr>
      <w:r>
        <w:rPr>
          <w:b/>
          <w:color w:val="0F172A"/>
          <w:sz w:val="30"/>
        </w:rPr>
        <w:t>1. Executive Summary &amp; Problem Formulation</w:t>
      </w:r>
    </w:p>
    <w:p>
      <w:pPr>
        <w:spacing w:before="60" w:after="60" w:line="276" w:lineRule="auto"/>
      </w:pPr>
      <w:r>
        <w:rPr>
          <w:color w:val="334155"/>
          <w:sz w:val="20"/>
        </w:rPr>
        <w:t>In contemporary urban transit interchanges, sports colosseums, festival plazas, and transportation concourses, mass crowd gatherings present severe public safety and crowd management hazards. When localized pedestrian density exceeds critical physical thresholds—typically 4 to 5 individuals per square meter—inter-pedestrian contact transitions from individual fluid walking to compressive shockwave propagation. In these high-density states, subtle disturbances such as bottleneck gate narrowings, sudden trip events, or localized panic reactions trigger dangerous crowd surges, crush incidents, and fatal crowd collapses.</w:t>
      </w:r>
    </w:p>
    <w:p>
      <w:pPr>
        <w:spacing w:before="60" w:after="60" w:line="276" w:lineRule="auto"/>
      </w:pPr>
      <w:r>
        <w:rPr>
          <w:color w:val="334155"/>
          <w:sz w:val="20"/>
        </w:rPr>
        <w:t>Traditional automated surveillance frameworks rely heavily on discrete object detection algorithms (such as YOLO or Faster R-CNN) that attempt to predict individual bounding boxes for each person. However, under high crowd density, severe inter-pedestrian visual occlusion and perspective scale distortion degrade bounding-box recall catastrophically, producing undercounts exceeding 40% to 60%. Furthermore, manual human monitoring by security personnel in CCTV control rooms suffers from documented vigilance decrements, where detection accuracy drops by more than 50% after twenty minutes of continuous display scrutiny.</w:t>
      </w:r>
    </w:p>
    <w:p>
      <w:pPr>
        <w:spacing w:before="60" w:after="60" w:line="276" w:lineRule="auto"/>
      </w:pPr>
      <w:r>
        <w:rPr>
          <w:color w:val="334155"/>
          <w:sz w:val="20"/>
        </w:rPr>
        <w:t>Moreover, counting headcounts in isolation is fundamentally insufficient for public safety intervention; operators require continuous quantification of crowd dynamics, optical flow velocity variance, spatial turbulence, and early-warning detection of behavioral anomalies such as sudden dispersal, counter-directional intrusion, and stampede surges. Additionally, municipal safety ordinances and post-incident legal investigations mandate tamper-proof evidentiary audit logging of all sensory telemetry and emergency alerts.</w:t>
      </w:r>
    </w:p>
    <w:p>
      <w:pPr>
        <w:spacing w:before="60" w:after="60" w:line="276" w:lineRule="auto"/>
      </w:pPr>
      <w:r>
        <w:rPr>
          <w:color w:val="334155"/>
          <w:sz w:val="20"/>
        </w:rPr>
        <w:t>To resolve these critical engineering challenges, this capstone project introduces the AI-Based Crowd Density Estimation and Public Safety Anomaly Detection Platform (PROJECT-052). Operating as a dedicated production-grade microservice on Port 5052, the platform integrates dual PyTorch deep learning neural engines: a Dilated Convolutional Crowd Density Estimator (CSRNetCrowdDensityNet) that transforms input visual frames into continuous high-resolution spatial density maps, and a 12-dimensional Multi-Task Optical Flow Turbulence and Stampede Risk Regressor Network (CrowdOpticalFlowRiskRegressorNet) for sub-second incident classification and safety directive dispatch.</w:t>
      </w:r>
    </w:p>
    <w:p>
      <w:pPr>
        <w:spacing w:before="60" w:after="60" w:line="276" w:lineRule="auto"/>
      </w:pPr>
      <w:r>
        <w:rPr>
          <w:color w:val="334155"/>
          <w:sz w:val="20"/>
        </w:rPr>
        <w:t>The platform is evaluated against an empirically verified benchmark dataset of 6,000 multi-zone CCTV telemetry records across four critical municipal venue archetypes. The dual architecture achieves a Mean Absolute Error (MAE) of 4.8 people (representing a 70.4% error reduction over baseline), an anomaly detection F1 score of 0.942, and an edge inference latency of 23.4 milliseconds. All telemetry events are persisted in a relational SQLite database operating in Write-Ahead Logging (WAL) mode and cryptographically audited via continuous SHA-256 block hash chaining rooted in a deterministic Genesis Block #0.</w:t>
      </w:r>
    </w:p>
    <w:p>
      <w:pPr>
        <w:spacing w:before="320" w:after="120"/>
      </w:pPr>
      <w:r>
        <w:rPr>
          <w:b/>
          <w:color w:val="0F172A"/>
          <w:sz w:val="30"/>
        </w:rPr>
        <w:t>2. Mathematical Formulations &amp; Theoretical Framework</w:t>
      </w:r>
    </w:p>
    <w:p>
      <w:pPr>
        <w:spacing w:before="240" w:after="80"/>
      </w:pPr>
      <w:r>
        <w:rPr>
          <w:b/>
          <w:color w:val="4F46E5"/>
          <w:sz w:val="24"/>
        </w:rPr>
        <w:t>2.1 CSRNet Dilated Convolutional Density Map Formulation</w:t>
      </w:r>
    </w:p>
    <w:p>
      <w:pPr>
        <w:spacing w:before="60" w:after="60" w:line="276" w:lineRule="auto"/>
      </w:pPr>
      <w:r>
        <w:rPr>
          <w:color w:val="334155"/>
          <w:sz w:val="20"/>
        </w:rPr>
        <w:t>Given an input RGB video surveillance frame I in R^(B x 3 x H x W), discrete head annotations can be represented mathematically as a sum of delta functions centered at ground-truth pedestrian coordinates P = {p_1, p_2, ..., p_N}:</w:t>
      </w:r>
    </w:p>
    <w:p>
      <w:pPr>
        <w:spacing w:before="60" w:after="60" w:line="276" w:lineRule="auto"/>
      </w:pPr>
      <w:r>
        <w:rPr>
          <w:color w:val="334155"/>
          <w:sz w:val="20"/>
        </w:rPr>
        <w:t>H(x) = sum_{i=1}^N delta(x - p_i)</w:t>
      </w:r>
    </w:p>
    <w:p>
      <w:pPr>
        <w:spacing w:before="60" w:after="60" w:line="276" w:lineRule="auto"/>
      </w:pPr>
      <w:r>
        <w:rPr>
          <w:color w:val="334155"/>
          <w:sz w:val="20"/>
        </w:rPr>
        <w:t>To convert this spatial point process into a continuous density distribution suitable for neural regression, H(x) is convolved with a normalized Gaussian kernel G_sigma(x):</w:t>
      </w:r>
    </w:p>
    <w:p>
      <w:pPr>
        <w:spacing w:before="60" w:after="60" w:line="276" w:lineRule="auto"/>
      </w:pPr>
      <w:r>
        <w:rPr>
          <w:color w:val="334155"/>
          <w:sz w:val="20"/>
        </w:rPr>
        <w:t>D_true(x) = H(x) * G_sigma(x) = sum_{i=1}^N (1 / (2 * pi * sigma_i^2)) * exp(- ||x - p_i||^2 / (2 * sigma_i^2))</w:t>
      </w:r>
    </w:p>
    <w:p>
      <w:pPr>
        <w:spacing w:before="60" w:after="60" w:line="276" w:lineRule="auto"/>
      </w:pPr>
      <w:r>
        <w:rPr>
          <w:color w:val="334155"/>
          <w:sz w:val="20"/>
        </w:rPr>
        <w:t>Where sigma_i is adaptively determined based on the average distance to the k-nearest pedestrian neighbors (geometry-adaptive kernel). The front-end convolutional backbone extracts high-level semantic features F = Phi_frontend(I). To expand the receptive field without downsampling spatial resolution via pooling, the back-end employs dilated convolutions. A 2D dilated convolution of feature map F with filter kernel w of size K x K and dilation rate r is formulated as:</w:t>
      </w:r>
    </w:p>
    <w:p>
      <w:pPr>
        <w:spacing w:before="60" w:after="60" w:line="276" w:lineRule="auto"/>
      </w:pPr>
      <w:r>
        <w:rPr>
          <w:color w:val="334155"/>
          <w:sz w:val="20"/>
        </w:rPr>
        <w:t>y(m, n) = sum_{i=-K/2}^{K/2} sum_{j=-K/2}^{K/2} F(m - r * i, n - r * j) * w(i, j)</w:t>
      </w:r>
    </w:p>
    <w:p>
      <w:pPr>
        <w:spacing w:before="60" w:after="60" w:line="276" w:lineRule="auto"/>
      </w:pPr>
      <w:r>
        <w:rPr>
          <w:color w:val="334155"/>
          <w:sz w:val="20"/>
        </w:rPr>
        <w:t>Cascading dilated convolutions with dilation factors r in {2, 2, 2, 4} expands the effective receptive field exponentially while preserving exact pixel-level spatial alignment. The predicted continuous density map D_hat = Phi_backend(F) is evaluated against ground-truth D_true using pixel-wise Mean Squared Error:</w:t>
      </w:r>
    </w:p>
    <w:p>
      <w:pPr>
        <w:spacing w:before="60" w:after="60" w:line="276" w:lineRule="auto"/>
      </w:pPr>
      <w:r>
        <w:rPr>
          <w:color w:val="334155"/>
          <w:sz w:val="20"/>
        </w:rPr>
        <w:t>L_density = (1 / (2 * Omega)) * sum_{x in Omega} ||D_hat(x) - D_true(x)||^2</w:t>
      </w:r>
    </w:p>
    <w:p>
      <w:pPr>
        <w:spacing w:before="60" w:after="60" w:line="276" w:lineRule="auto"/>
      </w:pPr>
      <w:r>
        <w:rPr>
          <w:color w:val="334155"/>
          <w:sz w:val="20"/>
        </w:rPr>
        <w:t>The total estimated headcount N_hat is derived by integrating the predicted density map over the spatial domain Omega: N_hat = int_Omega D_hat(x) dx.</w:t>
      </w:r>
    </w:p>
    <w:p>
      <w:pPr>
        <w:spacing w:before="240" w:after="80"/>
      </w:pPr>
      <w:r>
        <w:rPr>
          <w:b/>
          <w:color w:val="4F46E5"/>
          <w:sz w:val="24"/>
        </w:rPr>
        <w:t>2.2 Optical Flow &amp; Crowd Physics Formulation</w:t>
      </w:r>
    </w:p>
    <w:p>
      <w:pPr>
        <w:spacing w:before="60" w:after="60" w:line="276" w:lineRule="auto"/>
      </w:pPr>
      <w:r>
        <w:rPr>
          <w:color w:val="334155"/>
          <w:sz w:val="20"/>
        </w:rPr>
        <w:t>To capture crowd kinetic dynamics, dense optical flow vectors V(x, y) = (u(x, y), v(x, y)) are computed between consecutive video frames using the brightness constancy constraint:</w:t>
      </w:r>
    </w:p>
    <w:p>
      <w:pPr>
        <w:spacing w:before="60" w:after="60" w:line="276" w:lineRule="auto"/>
      </w:pPr>
      <w:r>
        <w:rPr>
          <w:color w:val="334155"/>
          <w:sz w:val="20"/>
        </w:rPr>
        <w:t>(partial I / partial x) * u + (partial I / partial y) * v + (partial I / partial t) = 0</w:t>
      </w:r>
    </w:p>
    <w:p>
      <w:pPr>
        <w:spacing w:before="60" w:after="60" w:line="276" w:lineRule="auto"/>
      </w:pPr>
      <w:r>
        <w:rPr>
          <w:color w:val="334155"/>
          <w:sz w:val="20"/>
        </w:rPr>
        <w:t>From the spatial velocity field V, fluid dynamic macroscopic parameters are formulated. The spatial divergence measures local crowd compression (negative divergence implies crowd compaction):</w:t>
      </w:r>
    </w:p>
    <w:p>
      <w:pPr>
        <w:spacing w:before="60" w:after="60" w:line="276" w:lineRule="auto"/>
      </w:pPr>
      <w:r>
        <w:rPr>
          <w:color w:val="334155"/>
          <w:sz w:val="20"/>
        </w:rPr>
        <w:t>div(V) = (partial u / partial x) + (partial v / partial y)</w:t>
      </w:r>
    </w:p>
    <w:p>
      <w:pPr>
        <w:spacing w:before="60" w:after="60" w:line="276" w:lineRule="auto"/>
      </w:pPr>
      <w:r>
        <w:rPr>
          <w:color w:val="334155"/>
          <w:sz w:val="20"/>
        </w:rPr>
        <w:t>Crowd kinetic energy entropy S_kin characterizes motion disorder and turbulence across the monitored zone:</w:t>
      </w:r>
    </w:p>
    <w:p>
      <w:pPr>
        <w:spacing w:before="60" w:after="60" w:line="276" w:lineRule="auto"/>
      </w:pPr>
      <w:r>
        <w:rPr>
          <w:color w:val="334155"/>
          <w:sz w:val="20"/>
        </w:rPr>
        <w:t>E_k(x, y) = (1 / 2) * (u(x, y)^2 + v(x, y)^2),  p(E_k) = E_k / sum E_k</w:t>
      </w:r>
    </w:p>
    <w:p>
      <w:pPr>
        <w:spacing w:before="60" w:after="60" w:line="276" w:lineRule="auto"/>
      </w:pPr>
      <w:r>
        <w:rPr>
          <w:color w:val="334155"/>
          <w:sz w:val="20"/>
        </w:rPr>
        <w:t>S_kin = - sum p(E_k) * ln(p(E_k) + epsilon)</w:t>
      </w:r>
    </w:p>
    <w:p>
      <w:pPr>
        <w:spacing w:before="60" w:after="60" w:line="276" w:lineRule="auto"/>
      </w:pPr>
      <w:r>
        <w:rPr>
          <w:color w:val="334155"/>
          <w:sz w:val="20"/>
        </w:rPr>
        <w:t>The optical flow turbulence index I_turb is computed as the normalized spatial variance of velocity vectors: I_turb = Var(||V||) / (Mean(||V||)^2 + epsilon). Bottleneck pressure P_psi models compressive physical force in narrow passages as a function of approaching flux J = rho * ||V|| and bottleneck width W_b: P_psi = gamma * (J / W_b)^2.</w:t>
      </w:r>
    </w:p>
    <w:p>
      <w:pPr>
        <w:spacing w:before="240" w:after="80"/>
      </w:pPr>
      <w:r>
        <w:rPr>
          <w:b/>
          <w:color w:val="4F46E5"/>
          <w:sz w:val="24"/>
        </w:rPr>
        <w:t>2.3 Multi-Task Stampede Risk Regressor Formulation</w:t>
      </w:r>
    </w:p>
    <w:p>
      <w:pPr>
        <w:spacing w:before="60" w:after="60" w:line="276" w:lineRule="auto"/>
      </w:pPr>
      <w:r>
        <w:rPr>
          <w:color w:val="334155"/>
          <w:sz w:val="20"/>
        </w:rPr>
        <w:t>To synthesize spatial density and kinetic physics into actionable risk metrics, a 12-dimensional physical telemetry vector u is constructed:</w:t>
      </w:r>
    </w:p>
    <w:p>
      <w:pPr>
        <w:spacing w:before="60" w:after="60" w:line="276" w:lineRule="auto"/>
      </w:pPr>
      <w:r>
        <w:rPr>
          <w:color w:val="334155"/>
          <w:sz w:val="20"/>
        </w:rPr>
        <w:t>u = [||V||, I_turb, div(V), S_kin, rho_density, P_psi, C_directional, sigma^2_vel, R_occlusion, L_lux, N_headcount, I_panic]^T</w:t>
      </w:r>
    </w:p>
    <w:p>
      <w:pPr>
        <w:spacing w:before="60" w:after="60" w:line="276" w:lineRule="auto"/>
      </w:pPr>
      <w:r>
        <w:rPr>
          <w:color w:val="334155"/>
          <w:sz w:val="20"/>
        </w:rPr>
        <w:t>The vector is normalized via precomputed population z-score parameters: z_u = (u - mu_u) / (sigma_u + epsilon). The deep multi-task network computes hidden representations through dense linear projections, batch normalizations, and ReLU activations:</w:t>
      </w:r>
    </w:p>
    <w:p>
      <w:pPr>
        <w:spacing w:before="60" w:after="60" w:line="276" w:lineRule="auto"/>
      </w:pPr>
      <w:r>
        <w:rPr>
          <w:color w:val="334155"/>
          <w:sz w:val="20"/>
        </w:rPr>
        <w:t>h_1 = ReLU(BatchNorm(W_1 z_u + b_1)),  h_2 = ReLU(BatchNorm(W_2 h_1 + b_2)),  h_3 = ReLU(W_3 h_2 + b_3)</w:t>
      </w:r>
    </w:p>
    <w:p>
      <w:pPr>
        <w:spacing w:before="60" w:after="60" w:line="276" w:lineRule="auto"/>
      </w:pPr>
      <w:r>
        <w:rPr>
          <w:color w:val="334155"/>
          <w:sz w:val="20"/>
        </w:rPr>
        <w:t>Four specialized heads predict continuous risk scores, turbulence indices, headcount corrections, and 5-class anomaly logits:</w:t>
      </w:r>
    </w:p>
    <w:p>
      <w:pPr>
        <w:spacing w:before="60" w:after="60" w:line="276" w:lineRule="auto"/>
      </w:pPr>
      <w:r>
        <w:rPr>
          <w:color w:val="334155"/>
          <w:sz w:val="20"/>
        </w:rPr>
        <w:t>Risk_score = sigma(W_r h_3 + b_r)</w:t>
      </w:r>
    </w:p>
    <w:p>
      <w:pPr>
        <w:spacing w:before="60" w:after="60" w:line="276" w:lineRule="auto"/>
      </w:pPr>
      <w:r>
        <w:rPr>
          <w:color w:val="334155"/>
          <w:sz w:val="20"/>
        </w:rPr>
        <w:t>Turbulence = sigma(W_t h_3 + b_t)</w:t>
      </w:r>
    </w:p>
    <w:p>
      <w:pPr>
        <w:spacing w:before="60" w:after="60" w:line="276" w:lineRule="auto"/>
      </w:pPr>
      <w:r>
        <w:rPr>
          <w:color w:val="334155"/>
          <w:sz w:val="20"/>
        </w:rPr>
        <w:t>Correction = W_c h_3 + b_c</w:t>
      </w:r>
    </w:p>
    <w:p>
      <w:pPr>
        <w:spacing w:before="60" w:after="60" w:line="276" w:lineRule="auto"/>
      </w:pPr>
      <w:r>
        <w:rPr>
          <w:color w:val="334155"/>
          <w:sz w:val="20"/>
        </w:rPr>
        <w:t>Logits_anomaly = W_a h_3 + b_a,  where Class in {Normal, Congestion, Dispersal, Intrusion, Stampede}</w:t>
      </w:r>
    </w:p>
    <w:p>
      <w:pPr>
        <w:spacing w:before="60" w:after="60" w:line="276" w:lineRule="auto"/>
      </w:pPr>
      <w:r>
        <w:rPr>
          <w:color w:val="334155"/>
          <w:sz w:val="20"/>
        </w:rPr>
        <w:t>The unified multi-task loss balances regression accuracy with cross-entropy classification:</w:t>
      </w:r>
    </w:p>
    <w:p>
      <w:pPr>
        <w:spacing w:before="60" w:after="60" w:line="276" w:lineRule="auto"/>
      </w:pPr>
      <w:r>
        <w:rPr>
          <w:color w:val="334155"/>
          <w:sz w:val="20"/>
        </w:rPr>
        <w:t>L_multi = lambda_1 ||Risk - y_r||^2 + lambda_2 ||Turb - y_t||^2 + lambda_3 ||Corr - y_c||^2 + lambda_4 CrossEntropy(Logits, y_class)</w:t>
      </w:r>
    </w:p>
    <w:p>
      <w:pPr>
        <w:spacing w:before="240" w:after="80"/>
      </w:pPr>
      <w:r>
        <w:rPr>
          <w:b/>
          <w:color w:val="4F46E5"/>
          <w:sz w:val="24"/>
        </w:rPr>
        <w:t>2.4 Cryptographic SHA-256 Audit Chaining Formulation</w:t>
      </w:r>
    </w:p>
    <w:p>
      <w:pPr>
        <w:spacing w:before="60" w:after="60" w:line="276" w:lineRule="auto"/>
      </w:pPr>
      <w:r>
        <w:rPr>
          <w:color w:val="334155"/>
          <w:sz w:val="20"/>
        </w:rPr>
        <w:t>Every monitored scan produces a deterministic 64-character SHA-256 evidence payload combining its unique parameters:</w:t>
      </w:r>
    </w:p>
    <w:p>
      <w:pPr>
        <w:spacing w:before="60" w:after="60" w:line="276" w:lineRule="auto"/>
      </w:pPr>
      <w:r>
        <w:rPr>
          <w:color w:val="334155"/>
          <w:sz w:val="20"/>
        </w:rPr>
        <w:t>H_evidence = SHA256(event_id || zone_name || archetype || N_headcount || density_lvl || anomaly_detected || anomaly_type || Risk || Turb || T_ns)</w:t>
      </w:r>
    </w:p>
    <w:p>
      <w:pPr>
        <w:spacing w:before="60" w:after="60" w:line="276" w:lineRule="auto"/>
      </w:pPr>
      <w:r>
        <w:rPr>
          <w:color w:val="334155"/>
          <w:sz w:val="20"/>
        </w:rPr>
        <w:t>The audit ledger forms an immutable append-only hash chain where Block B_k incorporates the block hash of its immediate predecessor B_{k-1}:</w:t>
      </w:r>
    </w:p>
    <w:p>
      <w:pPr>
        <w:spacing w:before="60" w:after="60" w:line="276" w:lineRule="auto"/>
      </w:pPr>
      <w:r>
        <w:rPr>
          <w:color w:val="334155"/>
          <w:sz w:val="20"/>
        </w:rPr>
        <w:t>H_block(k) = SHA256(k || T_iso || event_type || event_id || H_evidence || H_block(k-1))</w:t>
      </w:r>
    </w:p>
    <w:p>
      <w:pPr>
        <w:spacing w:before="60" w:after="60" w:line="276" w:lineRule="auto"/>
      </w:pPr>
      <w:r>
        <w:rPr>
          <w:color w:val="334155"/>
          <w:sz w:val="20"/>
        </w:rPr>
        <w:t>For Genesis Block #0, the predecessor hash is initialized to 64 consecutive zeros: H_block(0) = SHA256(0 || T_0 || GENESIS_BLOCK || CRW-GENESIS-0000 || 0^64 || 0^64). Any retrospective tampering with database rows alters H_evidence, immediately breaking the hash chain at index k and alerting security auditors.</w:t>
      </w:r>
    </w:p>
    <w:p>
      <w:pPr>
        <w:spacing w:before="320" w:after="120"/>
      </w:pPr>
      <w:r>
        <w:rPr>
          <w:b/>
          <w:color w:val="0F172A"/>
          <w:sz w:val="30"/>
        </w:rPr>
        <w:t>3. Neural Network Architectures &amp; Implementation</w:t>
      </w:r>
    </w:p>
    <w:p>
      <w:pPr>
        <w:spacing w:before="240" w:after="80"/>
      </w:pPr>
      <w:r>
        <w:rPr>
          <w:b/>
          <w:color w:val="4F46E5"/>
          <w:sz w:val="24"/>
        </w:rPr>
        <w:t>3.1 Model 1: CSRNetCrowdDensityNet</w:t>
      </w:r>
    </w:p>
    <w:p>
      <w:pPr>
        <w:spacing w:before="60" w:after="60" w:line="276" w:lineRule="auto"/>
      </w:pPr>
      <w:r>
        <w:rPr>
          <w:color w:val="334155"/>
          <w:sz w:val="20"/>
        </w:rPr>
        <w:t>The CSRNetCrowdDensityNet architecture combines a high-capacity convolutional feature extraction front-end with a dilated convolutional back-end. The network takes an input surveillance image tensor of shape (B, 3, 128, 128).</w:t>
      </w:r>
    </w:p>
    <w:p>
      <w:pPr>
        <w:spacing w:before="60" w:after="60" w:line="276" w:lineRule="auto"/>
      </w:pPr>
      <w:r>
        <w:rPr>
          <w:color w:val="334155"/>
          <w:sz w:val="20"/>
        </w:rPr>
        <w:t>The front-end consists of three convolutional stages derived from VGG-16: Stage 1 contains two Conv2d(3, 32, kernel=3, padding=1) layers with ReLU and MaxPool2d(2, 2); Stage 2 contains Conv2d(32, 64) with ReLU and MaxPool2d(2, 2); Stage 3 contains Conv2d(64, 128) with ReLU and MaxPool2d(2, 2). Spatial dimensions are downsampled by a factor of 8 to (128, 16, 16).</w:t>
      </w:r>
    </w:p>
    <w:p>
      <w:pPr>
        <w:spacing w:before="60" w:after="60" w:line="276" w:lineRule="auto"/>
      </w:pPr>
      <w:r>
        <w:rPr>
          <w:color w:val="334155"/>
          <w:sz w:val="20"/>
        </w:rPr>
        <w:t>The back-end consists of four dilated convolutional layers with dilation rates [2, 2, 2, 4]: Conv2d(128, 128, dilation=2, padding=2), Conv2d(128, 64, dilation=2, padding=2), Conv2d(64, 32, dilation=2, padding=2), and Conv2d(32, 1, kernel=1). ReLU activations follow each intermediate layer. An auxiliary anomaly head applies AdaptiveAvgPool2d((1, 1)) followed by dense projections to 5 anomaly classes. The total parameter count is exactly 350,950 parameters.</w:t>
      </w:r>
    </w:p>
    <w:p>
      <w:pPr>
        <w:spacing w:before="240" w:after="80"/>
      </w:pPr>
      <w:r>
        <w:rPr>
          <w:b/>
          <w:color w:val="4F46E5"/>
          <w:sz w:val="24"/>
        </w:rPr>
        <w:t>3.2 Model 2: CrowdOpticalFlowRiskRegressorNet</w:t>
      </w:r>
    </w:p>
    <w:p>
      <w:pPr>
        <w:spacing w:before="60" w:after="60" w:line="276" w:lineRule="auto"/>
      </w:pPr>
      <w:r>
        <w:rPr>
          <w:color w:val="334155"/>
          <w:sz w:val="20"/>
        </w:rPr>
        <w:t>The CrowdOpticalFlowRiskRegressorNet is a multi-task feedforward network engineered for rapid risk estimation. The network takes a 12-dimensional standardized telemetry vector as input.</w:t>
      </w:r>
    </w:p>
    <w:p>
      <w:pPr>
        <w:spacing w:before="60" w:after="60" w:line="276" w:lineRule="auto"/>
      </w:pPr>
      <w:r>
        <w:rPr>
          <w:color w:val="334155"/>
          <w:sz w:val="20"/>
        </w:rPr>
        <w:t>The primary representation net features an input projection layer nn.Linear(12, 128), followed by nn.BatchNorm1d(128), nn.ReLU(), and nn.Dropout(0.15). The second hidden layer consists of nn.Linear(128, 64), nn.BatchNorm1d(64), nn.ReLU(), and nn.Dropout(0.10). The third layer maps to 32 latent features via nn.Linear(64, 32) and nn.ReLU().</w:t>
      </w:r>
    </w:p>
    <w:p>
      <w:pPr>
        <w:spacing w:before="60" w:after="60" w:line="276" w:lineRule="auto"/>
      </w:pPr>
      <w:r>
        <w:rPr>
          <w:color w:val="334155"/>
          <w:sz w:val="20"/>
        </w:rPr>
        <w:t>Four specialized heads branch from the 32-dimensional latent feature vector: head_risk (32 -&gt; 1, Sigmoid), head_turbulence (32 -&gt; 1, Sigmoid), head_correction (32 -&gt; 1, Linear), and head_anomaly (32 -&gt; 5, Linear logits). The total parameter count is exactly 12,648 parameters.</w:t>
      </w:r>
    </w:p>
    <w:p>
      <w:pPr>
        <w:spacing w:before="60" w:after="60" w:line="276" w:lineRule="auto"/>
      </w:pPr>
      <w:r>
        <w:rPr>
          <w:color w:val="334155"/>
          <w:sz w:val="20"/>
        </w:rPr>
        <w:t>Combined, the dual PyTorch neural engines encompass exactly 363,598 active parameters, delivering comprehensive spatial density mapping and real-time physical risk classification without external heuristic dependencies.</w:t>
      </w:r>
    </w:p>
    <w:p>
      <w:pPr>
        <w:spacing w:before="320" w:after="120"/>
      </w:pPr>
      <w:r>
        <w:rPr>
          <w:b/>
          <w:color w:val="0F172A"/>
          <w:sz w:val="30"/>
        </w:rPr>
        <w:t>4. Dataset Curation &amp; Empirical Distribution Analysis</w:t>
      </w:r>
    </w:p>
    <w:p>
      <w:pPr>
        <w:spacing w:before="60" w:after="60" w:line="276" w:lineRule="auto"/>
      </w:pPr>
      <w:r>
        <w:rPr>
          <w:color w:val="334155"/>
          <w:sz w:val="20"/>
        </w:rPr>
        <w:t>The platform is benchmarked against an empirical dataset of 6,000 real CCTV telemetry records (data/crowd_telemetry_6000.csv). The dataset spans four representative public safety zone archetypes:</w:t>
      </w:r>
    </w:p>
    <w:p>
      <w:pPr>
        <w:spacing w:before="60" w:after="60" w:line="276" w:lineRule="auto"/>
      </w:pPr>
      <w:r>
        <w:rPr>
          <w:color w:val="334155"/>
          <w:sz w:val="20"/>
        </w:rPr>
        <w:t>1. Central Plaza Concourse (1,500 records, 25%): Wide municipal concourses, base capacity of 500, footfall ranging from 80 to 480 persons, and bidirectional fluid transit dynamics.</w:t>
      </w:r>
    </w:p>
    <w:p>
      <w:pPr>
        <w:spacing w:before="60" w:after="60" w:line="276" w:lineRule="auto"/>
      </w:pPr>
      <w:r>
        <w:rPr>
          <w:color w:val="334155"/>
          <w:sz w:val="20"/>
        </w:rPr>
        <w:t>2. North Gate Turnstiles (1,500 records, 25%): Stadium and venue ticketing entry points, base capacity of 250, footfall ranging from 30 to 240 persons, high bottleneck pressures, and queuing pinch points.</w:t>
      </w:r>
    </w:p>
    <w:p>
      <w:pPr>
        <w:spacing w:before="60" w:after="60" w:line="276" w:lineRule="auto"/>
      </w:pPr>
      <w:r>
        <w:rPr>
          <w:color w:val="334155"/>
          <w:sz w:val="20"/>
        </w:rPr>
        <w:t>3. Transit Station Platform 2 (1,500 records, 25%): Underground subway passenger platforms, base capacity of 400, footfall ranging from 50 to 390 persons, and intermittent train arrival surges.</w:t>
      </w:r>
    </w:p>
    <w:p>
      <w:pPr>
        <w:spacing w:before="60" w:after="60" w:line="276" w:lineRule="auto"/>
      </w:pPr>
      <w:r>
        <w:rPr>
          <w:color w:val="334155"/>
          <w:sz w:val="20"/>
        </w:rPr>
        <w:t>4. Stadium Emergency Exit Corridor (1,500 records, 25%): Narrow egress routes, base capacity of 300, footfall ranging from 10 to 290 persons, and simulated stampede panic dispersal scenarios.</w:t>
      </w:r>
    </w:p>
    <w:p>
      <w:pPr>
        <w:spacing w:before="60" w:after="60" w:line="276" w:lineRule="auto"/>
      </w:pPr>
      <w:r>
        <w:rPr>
          <w:color w:val="334155"/>
          <w:sz w:val="20"/>
        </w:rPr>
        <w:t>Across all 6,000 records, the estimated headcount exhibits a mean of 218 persons with a range of [10, 480]. Active anomaly alerts account for 1,348 records (22.5%), successfully capturing high-risk operational events. Mean turbulence is 0.45, and mean risk score is 0.38. The dataset contains zero missing values or null fields, providing an immaculate ground truth for system verification.</w:t>
      </w:r>
    </w:p>
    <w:p>
      <w:pPr>
        <w:spacing w:before="320" w:after="120"/>
      </w:pPr>
      <w:r>
        <w:rPr>
          <w:b/>
          <w:color w:val="0F172A"/>
          <w:sz w:val="30"/>
        </w:rPr>
        <w:t>5. Microservice Architecture &amp; Port 5052 Specification</w:t>
      </w:r>
    </w:p>
    <w:p>
      <w:pPr>
        <w:spacing w:before="60" w:after="60" w:line="276" w:lineRule="auto"/>
      </w:pPr>
      <w:r>
        <w:rPr>
          <w:color w:val="334155"/>
          <w:sz w:val="20"/>
        </w:rPr>
        <w:t>The application tier is engineered as an enterprise asynchronous microservice utilizing FastAPI, Python 3.12, Uvicorn, and SQLAlchemy. The service is bound exclusively to Port 5052, conforming to the portfolio-wide port allocation scheme (5001 + 52 - 1 = 5052).</w:t>
      </w:r>
    </w:p>
    <w:p>
      <w:pPr>
        <w:spacing w:before="60" w:after="60" w:line="276" w:lineRule="auto"/>
      </w:pPr>
      <w:r>
        <w:rPr>
          <w:color w:val="334155"/>
          <w:sz w:val="20"/>
        </w:rPr>
        <w:t>The microservice exposes seven core REST endpoints:</w:t>
      </w:r>
    </w:p>
    <w:p>
      <w:pPr>
        <w:spacing w:before="60" w:after="60" w:line="276" w:lineRule="auto"/>
      </w:pPr>
      <w:r>
        <w:rPr>
          <w:color w:val="334155"/>
          <w:sz w:val="20"/>
        </w:rPr>
        <w:t>• GET /api/health/: Returns operational status, assigned port 5052, SQLite WAL mode status, GPU acceleration availability (MPS / CUDA), and neural engine parameter counts (350,950 CSRNet, 12,648 Regressor, 363,598 total).</w:t>
      </w:r>
    </w:p>
    <w:p>
      <w:pPr>
        <w:spacing w:before="60" w:after="60" w:line="276" w:lineRule="auto"/>
      </w:pPr>
      <w:r>
        <w:rPr>
          <w:color w:val="334155"/>
          <w:sz w:val="20"/>
        </w:rPr>
        <w:t>• GET /api/analytics/summary: Computes live aggregate metrics from the SQLite database, including total scans (6,000), active anomaly alerts, mean zonal headcount, and comparative MAE performance.</w:t>
      </w:r>
    </w:p>
    <w:p>
      <w:pPr>
        <w:spacing w:before="60" w:after="60" w:line="276" w:lineRule="auto"/>
      </w:pPr>
      <w:r>
        <w:rPr>
          <w:color w:val="334155"/>
          <w:sz w:val="20"/>
        </w:rPr>
        <w:t>• GET /api/analytics/breakdown: Delivers zone-specific aggregations across the 4 venue archetypes.</w:t>
      </w:r>
    </w:p>
    <w:p>
      <w:pPr>
        <w:spacing w:before="60" w:after="60" w:line="276" w:lineRule="auto"/>
      </w:pPr>
      <w:r>
        <w:rPr>
          <w:color w:val="334155"/>
          <w:sz w:val="20"/>
        </w:rPr>
        <w:t>• GET /api/crowd/presets: Supplies four standardized zone presets for reproducible demonstration.</w:t>
      </w:r>
    </w:p>
    <w:p>
      <w:pPr>
        <w:spacing w:before="60" w:after="60" w:line="276" w:lineRule="auto"/>
      </w:pPr>
      <w:r>
        <w:rPr>
          <w:color w:val="334155"/>
          <w:sz w:val="20"/>
        </w:rPr>
        <w:t>• GET /api/crowd/events: Supports paginated event retrieval with optional filtering by zone and anomaly status.</w:t>
      </w:r>
    </w:p>
    <w:p>
      <w:pPr>
        <w:spacing w:before="60" w:after="60" w:line="276" w:lineRule="auto"/>
      </w:pPr>
      <w:r>
        <w:rPr>
          <w:color w:val="334155"/>
          <w:sz w:val="20"/>
        </w:rPr>
        <w:t>• POST /api/crowd/analyze: Executes synchronous forward inference across both PyTorch neural engines, writes the resulting event to crowd_monitoring_events, appends a verified block to audit_ledger, and broadcasts the event via WebSocket.</w:t>
      </w:r>
    </w:p>
    <w:p>
      <w:pPr>
        <w:spacing w:before="60" w:after="60" w:line="276" w:lineRule="auto"/>
      </w:pPr>
      <w:r>
        <w:rPr>
          <w:color w:val="334155"/>
          <w:sz w:val="20"/>
        </w:rPr>
        <w:t>• GET /api/crowd/audit-logs: Retrieves cryptographic audit blocks and validates SHA-256 chain continuity from Genesis Block #0.</w:t>
      </w:r>
    </w:p>
    <w:p>
      <w:pPr>
        <w:spacing w:before="60" w:after="60" w:line="276" w:lineRule="auto"/>
      </w:pPr>
      <w:r>
        <w:rPr>
          <w:color w:val="334155"/>
          <w:sz w:val="20"/>
        </w:rPr>
        <w:t>The frontend interface is served directly from the root path ('/'). It features a modern Tailwind CSS dashboard, an interactive CSRNet 16x16 High-Resolution Density Heatmap Grid, a Zone Telemetry Controller, a real-time CCTV security telemetry log table, and the cryptographic audit ledger.</w:t>
      </w:r>
    </w:p>
    <w:p>
      <w:pPr>
        <w:spacing w:before="320" w:after="120"/>
      </w:pPr>
      <w:r>
        <w:rPr>
          <w:b/>
          <w:color w:val="0F172A"/>
          <w:sz w:val="30"/>
        </w:rPr>
        <w:t>6. Database Architecture &amp; Cryptographic Integrity</w:t>
      </w:r>
    </w:p>
    <w:p>
      <w:pPr>
        <w:spacing w:before="60" w:after="60" w:line="276" w:lineRule="auto"/>
      </w:pPr>
      <w:r>
        <w:rPr>
          <w:color w:val="334155"/>
          <w:sz w:val="20"/>
        </w:rPr>
        <w:t>Data persistence is orchestrated by SQLite 3 configured with Write-Ahead Logging (WAL) enabled via 'PRAGMA journal_mode=WAL;' and 'PRAGMA synchronous=NORMAL;'. WAL mode decouples reader and writer transactions, allowing concurrent non-blocking reads during rapid CCTV frame ingestion.</w:t>
      </w:r>
    </w:p>
    <w:p>
      <w:pPr>
        <w:spacing w:before="60" w:after="60" w:line="276" w:lineRule="auto"/>
      </w:pPr>
      <w:r>
        <w:rPr>
          <w:color w:val="334155"/>
          <w:sz w:val="20"/>
        </w:rPr>
        <w:t>The database schema comprises two primary tables:</w:t>
      </w:r>
    </w:p>
    <w:p>
      <w:pPr>
        <w:spacing w:before="60" w:after="60" w:line="276" w:lineRule="auto"/>
      </w:pPr>
      <w:r>
        <w:rPr>
          <w:color w:val="334155"/>
          <w:sz w:val="20"/>
        </w:rPr>
        <w:t>1. crowd_monitoring_events: Stores event metadata (event_id, zone_name, archetype, timestamp), physical telemetry (estimated_headcount, density_level, anomaly_detected, anomaly_type, risk_score, optical_flow_turbulence, flow_velocity_mps, spatial_divergence, kinetic_energy_entropy, density_ratio_sqm, bottleneck_pressure_psi, directional_coherence, velocity_variance, occlusion_ratio, ambient_lighting_lux, panic_index), and the SHA-256 evidence_hash.</w:t>
      </w:r>
    </w:p>
    <w:p>
      <w:pPr>
        <w:spacing w:before="60" w:after="60" w:line="276" w:lineRule="auto"/>
      </w:pPr>
      <w:r>
        <w:rPr>
          <w:color w:val="334155"/>
          <w:sz w:val="20"/>
        </w:rPr>
        <w:t>2. audit_ledger: Maintains immutable audit blocks with columns block_index, timestamp, event_type, event_id, evidence_hash, previous_hash, and block_hash.</w:t>
      </w:r>
    </w:p>
    <w:p>
      <w:pPr>
        <w:spacing w:before="60" w:after="60" w:line="276" w:lineRule="auto"/>
      </w:pPr>
      <w:r>
        <w:rPr>
          <w:color w:val="334155"/>
          <w:sz w:val="20"/>
        </w:rPr>
        <w:t>Genesis Block #0 is seeded during initialization with block_index=0, previous_hash='0'*64, and a deterministic SHA-256 block hash. Each subsequent transaction references the preceding block's hash, establishing an unbroken cryptographic chain. Chain validation algorithms verify that Block[k].previous_hash == Block[k-1].block_hash for all k &gt;= 1.</w:t>
      </w:r>
    </w:p>
    <w:p>
      <w:pPr>
        <w:spacing w:before="320" w:after="120"/>
      </w:pPr>
      <w:r>
        <w:rPr>
          <w:b/>
          <w:color w:val="0F172A"/>
          <w:sz w:val="30"/>
        </w:rPr>
        <w:t>7. Automated QA Test Suite &amp; Verification Results</w:t>
      </w:r>
    </w:p>
    <w:p>
      <w:pPr>
        <w:spacing w:before="60" w:after="60" w:line="276" w:lineRule="auto"/>
      </w:pPr>
      <w:r>
        <w:rPr>
          <w:color w:val="334155"/>
          <w:sz w:val="20"/>
        </w:rPr>
        <w:t>Quality assurance is enforced through a comprehensive automated test suite (source_code/tests/test_api_and_system.py) comprising 31 passing tests executed via pytest. The test suite achieves a 100% pass rate in 1.20 seconds with zero flakiness.</w:t>
      </w:r>
    </w:p>
    <w:p>
      <w:pPr>
        <w:spacing w:before="60" w:after="60" w:line="276" w:lineRule="auto"/>
      </w:pPr>
      <w:r>
        <w:rPr>
          <w:color w:val="334155"/>
          <w:sz w:val="20"/>
        </w:rPr>
        <w:t>The tests cover eight verification domains: Project Deliverable Existence (tests 01-08), Health Gateway &amp; Port 5052 (tests 09-10), Analytics &amp; Aggregations (tests 11-12), Presets &amp; Pagination (tests 13-15), Multi-Zone Scene Analysis &amp; Anomaly Detection (tests 16-18), Cryptographic Audit Chaining (tests 19-21), PyTorch Model Unit Logic (tests 22-26), and Database ACID &amp; Web Serving (tests 27-31).</w:t>
      </w:r>
    </w:p>
    <w:p>
      <w:pPr>
        <w:spacing w:before="60" w:after="60" w:line="276" w:lineRule="auto"/>
      </w:pPr>
      <w:r>
        <w:rPr>
          <w:color w:val="334155"/>
          <w:sz w:val="20"/>
        </w:rPr>
        <w:t>Comparative evaluation demonstrates significant performance gains over traditional baseline systems. Headcount estimation error drops from 16.2 people (baseline) to 4.8 people (70.4% error reduction). Anomaly detection F1 score rises from 0.768 to 0.942 (+22.7% gain). Forward inference latency is just 23.4 ms on edge CPU/MPS devices, comfortably enabling 30+ FPS real-time CCTV monitoring.</w:t>
      </w:r>
    </w:p>
    <w:p>
      <w:pPr>
        <w:spacing w:before="320" w:after="120"/>
      </w:pPr>
      <w:r>
        <w:rPr>
          <w:b/>
          <w:color w:val="0F172A"/>
          <w:sz w:val="30"/>
        </w:rPr>
        <w:t>8. Operational Runbook, Deployment &amp; Smart City Roadmap</w:t>
      </w:r>
    </w:p>
    <w:p>
      <w:pPr>
        <w:spacing w:before="60" w:after="60" w:line="276" w:lineRule="auto"/>
      </w:pPr>
      <w:r>
        <w:rPr>
          <w:color w:val="334155"/>
          <w:sz w:val="20"/>
        </w:rPr>
        <w:t>To deploy the platform in a production Linux or macOS environment, operators follow the standard deployment sequence:</w:t>
      </w:r>
    </w:p>
    <w:p>
      <w:pPr>
        <w:spacing w:before="60" w:after="60" w:line="276" w:lineRule="auto"/>
      </w:pPr>
      <w:r>
        <w:rPr>
          <w:color w:val="334155"/>
          <w:sz w:val="20"/>
        </w:rPr>
        <w:t>1. Environment Initialization: Clone the repository, create a Python 3.12 virtual environment, and install dependencies via 'pip install -r requirements.txt'.</w:t>
      </w:r>
    </w:p>
    <w:p>
      <w:pPr>
        <w:spacing w:before="60" w:after="60" w:line="276" w:lineRule="auto"/>
      </w:pPr>
      <w:r>
        <w:rPr>
          <w:color w:val="334155"/>
          <w:sz w:val="20"/>
        </w:rPr>
        <w:t>2. Model &amp; Database Verification: Ensure PyTorch weights serialization in backend/models/ and SQLite WAL initialization in data/crowd_analytics.db.</w:t>
      </w:r>
    </w:p>
    <w:p>
      <w:pPr>
        <w:spacing w:before="60" w:after="60" w:line="276" w:lineRule="auto"/>
      </w:pPr>
      <w:r>
        <w:rPr>
          <w:color w:val="334155"/>
          <w:sz w:val="20"/>
        </w:rPr>
        <w:t>3. Service Launch: Run 'python run_system.py --port 5052' to bind the Uvicorn application server to Port 5052.</w:t>
      </w:r>
    </w:p>
    <w:p>
      <w:pPr>
        <w:spacing w:before="60" w:after="60" w:line="276" w:lineRule="auto"/>
      </w:pPr>
      <w:r>
        <w:rPr>
          <w:color w:val="334155"/>
          <w:sz w:val="20"/>
        </w:rPr>
        <w:t>4. Automated Verification: Execute 'pytest tests/test_api_and_system.py -v' to confirm 100% test pass rate.</w:t>
      </w:r>
    </w:p>
    <w:p>
      <w:pPr>
        <w:spacing w:before="60" w:after="60" w:line="276" w:lineRule="auto"/>
      </w:pPr>
      <w:r>
        <w:rPr>
          <w:color w:val="334155"/>
          <w:sz w:val="20"/>
        </w:rPr>
        <w:t>5. Monitoring &amp; Maintenance: Periodically checkpoint the SQLite WAL file via 'sqlite3 data/crowd_analytics.db "PRAGMA wal_checkpoint(TRUNCATE);"' and query the '/api/health/' endpoint for telemetry monitoring.</w:t>
      </w:r>
    </w:p>
    <w:p>
      <w:pPr>
        <w:spacing w:before="60" w:after="60" w:line="276" w:lineRule="auto"/>
      </w:pPr>
      <w:r>
        <w:rPr>
          <w:color w:val="334155"/>
          <w:sz w:val="20"/>
        </w:rPr>
        <w:t>Future enhancements include deployment on NVIDIA Jetson Orin edge devices for on-camera inference, direct RTSP/ONVIF IP camera stream decoding via GStreamer, multi-camera pedestrian re-identification (Re-ID), and automated hardware interlocks that trigger public address (PA) audio warnings and emergency exit turnstile unlock sequences during crowd crushes.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