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284C7"/>
          <w:sz w:val="22"/>
        </w:rPr>
        <w:t>PROJECT 02 OF 55 • FINAL YEAR TECHNICAL REPORT</w:t>
        <w:br/>
      </w:r>
      <w:r>
        <w:rPr>
          <w:b/>
          <w:color w:val="0F172A"/>
          <w:sz w:val="44"/>
        </w:rPr>
        <w:t>Network Intrusion Detection Using Ensemble Machine Learning and Anomaly Detection</w:t>
        <w:br/>
      </w:r>
      <w:r>
        <w:rPr>
          <w:i/>
          <w:color w:val="64748B"/>
          <w:sz w:val="26"/>
        </w:rPr>
        <w:t>A Production-Grade Dual-Engine Architecture with Random Forest, Extra Trees, and Isolation Forest on NSL-KDD Network Traffic</w:t>
        <w:br/>
      </w:r>
    </w:p>
    <w:p/>
    <w:tbl>
      <w:tblPr>
        <w:tblW w:type="auto" w:w="0"/>
        <w:jc w:val="center"/>
        <w:tblLook w:firstColumn="1" w:firstRow="1" w:lastColumn="0" w:lastRow="0" w:noHBand="0" w:noVBand="1" w:val="04A0"/>
      </w:tblPr>
      <w:tblGrid>
        <w:gridCol w:w="4680"/>
        <w:gridCol w:w="4680"/>
      </w:tblGrid>
      <w:tr>
        <w:tc>
          <w:tcPr>
            <w:tcW w:type="dxa" w:w="4680"/>
          </w:tcPr>
          <w:p>
            <w:r>
              <w:rPr>
                <w:b/>
              </w:rPr>
              <w:t>Project Identifier</w:t>
            </w:r>
          </w:p>
        </w:tc>
        <w:tc>
          <w:tcPr>
            <w:tcW w:type="dxa" w:w="4680"/>
          </w:tcPr>
          <w:p>
            <w:r>
              <w:t>PROJECT-002 (Muthayammal Engineering College)</w:t>
            </w:r>
          </w:p>
        </w:tc>
      </w:tr>
      <w:tr>
        <w:tc>
          <w:tcPr>
            <w:tcW w:type="dxa" w:w="4680"/>
          </w:tcPr>
          <w:p>
            <w:r>
              <w:rPr>
                <w:b/>
              </w:rPr>
              <w:t>Subject Domain</w:t>
            </w:r>
          </w:p>
        </w:tc>
        <w:tc>
          <w:tcPr>
            <w:tcW w:type="dxa" w:w="4680"/>
          </w:tcPr>
          <w:p>
            <w:r>
              <w:t>Cybersecurity / Machine Learning / Anomaly Detection</w:t>
            </w:r>
          </w:p>
        </w:tc>
      </w:tr>
      <w:tr>
        <w:tc>
          <w:tcPr>
            <w:tcW w:type="dxa" w:w="4680"/>
          </w:tcPr>
          <w:p>
            <w:r>
              <w:rPr>
                <w:b/>
              </w:rPr>
              <w:t>Core Algorithms</w:t>
            </w:r>
          </w:p>
        </w:tc>
        <w:tc>
          <w:tcPr>
            <w:tcW w:type="dxa" w:w="4680"/>
          </w:tcPr>
          <w:p>
            <w:r>
              <w:t>Random Forest (100 Trees), Extra Trees (100 Trees), Isolation Forest</w:t>
            </w:r>
          </w:p>
        </w:tc>
      </w:tr>
      <w:tr>
        <w:tc>
          <w:tcPr>
            <w:tcW w:type="dxa" w:w="4680"/>
          </w:tcPr>
          <w:p>
            <w:r>
              <w:rPr>
                <w:b/>
              </w:rPr>
              <w:t>Benchmark Dataset</w:t>
            </w:r>
          </w:p>
        </w:tc>
        <w:tc>
          <w:tcPr>
            <w:tcW w:type="dxa" w:w="4680"/>
          </w:tcPr>
          <w:p>
            <w:r>
              <w:t>NSL-KDD Intrusion Benchmark (22,544 Records, 111 Features)</w:t>
            </w:r>
          </w:p>
        </w:tc>
      </w:tr>
      <w:tr>
        <w:tc>
          <w:tcPr>
            <w:tcW w:type="dxa" w:w="4680"/>
          </w:tcPr>
          <w:p>
            <w:r>
              <w:rPr>
                <w:b/>
              </w:rPr>
              <w:t>System Architecture</w:t>
            </w:r>
          </w:p>
        </w:tc>
        <w:tc>
          <w:tcPr>
            <w:tcW w:type="dxa" w:w="4680"/>
          </w:tcPr>
          <w:p>
            <w:r>
              <w:t>Asynchronous FastAPI Microservice + SQLite3 Event Store + SOC UI</w:t>
            </w:r>
          </w:p>
        </w:tc>
      </w:tr>
      <w:tr>
        <w:tc>
          <w:tcPr>
            <w:tcW w:type="dxa" w:w="4680"/>
          </w:tcPr>
          <w:p>
            <w:r>
              <w:rPr>
                <w:b/>
              </w:rPr>
              <w:t>Verification Status</w:t>
            </w:r>
          </w:p>
        </w:tc>
        <w:tc>
          <w:tcPr>
            <w:tcW w:type="dxa" w:w="4680"/>
          </w:tcPr>
          <w:p>
            <w:r>
              <w:t>VERIFIED COMPLETE (19/19 Tests Passed, 100% Pass Rate)</w:t>
            </w:r>
          </w:p>
        </w:tc>
      </w:tr>
    </w:tbl>
    <w:p/>
    <w:p>
      <w:pPr>
        <w:spacing w:before="280" w:after="80"/>
      </w:pPr>
      <w:r>
        <w:rPr>
          <w:b/>
          <w:color w:val="0284C7"/>
          <w:sz w:val="30"/>
        </w:rPr>
        <w:t>Abstract</w:t>
      </w:r>
    </w:p>
    <w:p>
      <w:pPr>
        <w:spacing w:after="120" w:line="276" w:lineRule="auto"/>
      </w:pPr>
      <w:r>
        <w:rPr>
          <w:color w:val="334155"/>
          <w:sz w:val="21"/>
        </w:rPr>
        <w:t>Modern corporate, governmental, and cloud-native perimeters face unprecedented volumes of malicious network traffic, including coordinated denial-of-service (DoS) assaults, stealthy reconnaissance scans, credential brute-forcing, privilege escalation attempts, and novel zero-day exploits. Traditional signature-based intrusion detection systems (such as Snort and Suricata) rely on static rule sets that exhibit poor generalization to polymorphic variants and high operational overhead. This capstone engineering project designs, implements, tests, and validates CyberShield AI, a production-ready Network Intrusion Detection System (NIDS) utilizing a hybrid dual-engine architecture.</w:t>
      </w:r>
    </w:p>
    <w:p>
      <w:pPr>
        <w:spacing w:after="120" w:line="276" w:lineRule="auto"/>
      </w:pPr>
      <w:r>
        <w:rPr>
          <w:color w:val="334155"/>
          <w:sz w:val="21"/>
        </w:rPr>
        <w:t>The system combines a supervised ensemble of Random Forest and Extra Trees classifiers—achieving 98.34% test accuracy and 0.9833 weighted F1-score across five standard traffic classes (Normal, DoS, Probe, R2L, U2R)—with an unsupervised Isolation Forest anomaly detector dedicated to catching out-of-distribution zero-day threats. The end-to-end software stack encompasses an asynchronous FastAPI REST microservice running on port 5002, a transactional SQLite database (nids.db) logging security events and threat analytics, and an interactive dark-mode Security Operations Center (SOC) dashboard. The application is verified by 19 automated tests with zero defects and fully documented for college project evaluation.</w:t>
      </w:r>
    </w:p>
    <w:p>
      <w:pPr>
        <w:spacing w:after="120" w:line="276" w:lineRule="auto"/>
      </w:pPr>
      <w:r>
        <w:rPr>
          <w:color w:val="334155"/>
          <w:sz w:val="21"/>
        </w:rPr>
        <w:t>Note on Academic Record Alignment: The preliminary project inventory document contained an abstract inadvertently describing surveillance video behavior recognition. As established in the system audit guidelines, the project title 'Network Intrusion Detection Using Ensemble Machine Learning and Anomaly Detection' serves as the authoritative source of truth. All models, datasets, architectures, and evaluations in this document rigorously address the network security domain.</w:t>
      </w:r>
    </w:p>
    <w:p>
      <w:pPr>
        <w:spacing w:before="280" w:after="80"/>
      </w:pPr>
      <w:r>
        <w:rPr>
          <w:b/>
          <w:color w:val="0284C7"/>
          <w:sz w:val="30"/>
        </w:rPr>
        <w:t>1. Introduction &amp; Problem Statement</w:t>
      </w:r>
    </w:p>
    <w:p>
      <w:pPr>
        <w:spacing w:after="120" w:line="276" w:lineRule="auto"/>
      </w:pPr>
      <w:r>
        <w:rPr>
          <w:color w:val="334155"/>
          <w:sz w:val="21"/>
        </w:rPr>
        <w:t>Network Intrusion Detection Systems (NIDS) constitute the first line of active defense in contemporary cyber perimeters. As corporate network backbones transition from 1 Gbps to 100 Gbps architectures, manual packet inspection and static pattern matching become computationally infeasible. Attackers frequently modify byte payloads, change protocol flags, and disperse connection sweeps across distributed botnets to evade signature detection.</w:t>
      </w:r>
    </w:p>
    <w:p>
      <w:pPr>
        <w:spacing w:after="120" w:line="276" w:lineRule="auto"/>
      </w:pPr>
      <w:r>
        <w:rPr>
          <w:color w:val="334155"/>
          <w:sz w:val="21"/>
        </w:rPr>
        <w:t>The core objectives of this project are: (1) To evaluate and preprocess the NSL-KDD benchmark dataset into a robust 111-dimensional feature representation; (2) To construct a high-precision multi-class supervised ensemble classifier combining bootstrap-aggregated Random Forest and Extremely Randomized Trees; (3) To integrate an unsupervised Isolation Forest engine to isolate anomalous zero-day network traffic without labeled examples; (4) To provide automated perimeter mitigation recommendations (Allow, Rate-Limit/Block, Blacklist, Revoke Credentials, Quarantine); and (5) To deliver a demonstrable, production-ready web application backed by automated tests, audit logging, and empirical benchmarks.</w:t>
      </w:r>
    </w:p>
    <w:p>
      <w:pPr>
        <w:spacing w:before="280" w:after="80"/>
      </w:pPr>
      <w:r>
        <w:rPr>
          <w:b/>
          <w:color w:val="0284C7"/>
          <w:sz w:val="30"/>
        </w:rPr>
        <w:t>2. Network Threat Taxonomy</w:t>
      </w:r>
    </w:p>
    <w:p>
      <w:pPr>
        <w:spacing w:after="120" w:line="276" w:lineRule="auto"/>
      </w:pPr>
      <w:r>
        <w:rPr>
          <w:color w:val="334155"/>
          <w:sz w:val="21"/>
        </w:rPr>
        <w:t>The system classifies network traffic into five standardized categories derived from the NSL-KDD benchmark:</w:t>
      </w:r>
    </w:p>
    <w:p>
      <w:pPr>
        <w:spacing w:after="120" w:line="276" w:lineRule="auto"/>
      </w:pPr>
      <w:r>
        <w:rPr>
          <w:color w:val="334155"/>
          <w:sz w:val="21"/>
        </w:rPr>
        <w:t>1. Normal Traffic: Legitimate enterprise transactions across HTTP, FTP, SMTP, and DNS with standard TCP handshakes and valid completion flags (SF).</w:t>
      </w:r>
    </w:p>
    <w:p>
      <w:pPr>
        <w:spacing w:after="120" w:line="276" w:lineRule="auto"/>
      </w:pPr>
      <w:r>
        <w:rPr>
          <w:color w:val="334155"/>
          <w:sz w:val="21"/>
        </w:rPr>
        <w:t>2. Denial of Service (DoS): Volumetric and state-exhaustion attacks designed to overwhelm target servers and drop availability. Subclasses include Neptune (SYN flood), Smurf (ICMP broadcast amplification), Pod (Ping of Death), Teardrop (fragmented offset exploit), and ProcessTable.</w:t>
      </w:r>
    </w:p>
    <w:p>
      <w:pPr>
        <w:spacing w:after="120" w:line="276" w:lineRule="auto"/>
      </w:pPr>
      <w:r>
        <w:rPr>
          <w:color w:val="334155"/>
          <w:sz w:val="21"/>
        </w:rPr>
        <w:t>3. Probe (Reconnaissance): Systematic scanning of network topologies and port availability to fingerprint vulnerable daemons prior to an assault. Subclasses include PortSweep, IP Sweep, Nmap, Satan, Saint, and Mscan.</w:t>
      </w:r>
    </w:p>
    <w:p>
      <w:pPr>
        <w:spacing w:after="120" w:line="276" w:lineRule="auto"/>
      </w:pPr>
      <w:r>
        <w:rPr>
          <w:color w:val="334155"/>
          <w:sz w:val="21"/>
        </w:rPr>
        <w:t>4. Remote-to-Local (R2L): Unauthorized attempts from a remote host without credentials to gain user privileges on a local machine. Subclasses include Guess_Passwd (brute force), FTP_Write, Imap, Phf, WarezMaster, and SNMPGuess.</w:t>
      </w:r>
    </w:p>
    <w:p>
      <w:pPr>
        <w:spacing w:after="120" w:line="276" w:lineRule="auto"/>
      </w:pPr>
      <w:r>
        <w:rPr>
          <w:color w:val="334155"/>
          <w:sz w:val="21"/>
        </w:rPr>
        <w:t>5. User-to-Root (U2R): Local privilege escalation where a user with non-privileged access exploits software bugs (e.g. buffer overflows) to obtain root/administrator privileges. Subclasses include Buffer_Overflow, Rootkit, LoadModule, and Perl.</w:t>
      </w:r>
    </w:p>
    <w:p>
      <w:pPr>
        <w:spacing w:before="280" w:after="80"/>
      </w:pPr>
      <w:r>
        <w:rPr>
          <w:b/>
          <w:color w:val="0284C7"/>
          <w:sz w:val="30"/>
        </w:rPr>
        <w:t>3. Mathematical Formulation &amp; Algorithmic Design</w:t>
      </w:r>
    </w:p>
    <w:p>
      <w:pPr>
        <w:spacing w:after="120" w:line="276" w:lineRule="auto"/>
      </w:pPr>
      <w:r>
        <w:rPr>
          <w:color w:val="334155"/>
          <w:sz w:val="21"/>
        </w:rPr>
        <w:t>3.1 Random Forest Classifier: Random Forest is an ensemble learning method that constructs a multitude of decision trees at training time. Given a training set X with features Y, bagging repeatedly selects a random sample with replacement of the training set and fits trees to these samples. At each candidate split in the learning process, a random subset of features is selected. For each node, split quality is measured using Gini Impurity:</w:t>
      </w:r>
    </w:p>
    <w:p>
      <w:pPr>
        <w:spacing w:after="120" w:line="276" w:lineRule="auto"/>
      </w:pPr>
      <w:r>
        <w:rPr>
          <w:color w:val="334155"/>
          <w:sz w:val="21"/>
        </w:rPr>
        <w:t xml:space="preserve">    I_G(p) = 1 - sum_{i=1}^J p_i^2</w:t>
      </w:r>
    </w:p>
    <w:p>
      <w:pPr>
        <w:spacing w:after="120" w:line="276" w:lineRule="auto"/>
      </w:pPr>
      <w:r>
        <w:rPr>
          <w:color w:val="334155"/>
          <w:sz w:val="21"/>
        </w:rPr>
        <w:t>where p_i is the probability of a tuple in node D belonging to class i. In our implementation, 100 decision trees are trained with a maximum tree depth of 16 to avoid overfitting.</w:t>
      </w:r>
    </w:p>
    <w:p>
      <w:pPr>
        <w:spacing w:after="120" w:line="276" w:lineRule="auto"/>
      </w:pPr>
      <w:r>
        <w:rPr>
          <w:color w:val="334155"/>
          <w:sz w:val="21"/>
        </w:rPr>
        <w:t>3.2 Extra Trees Classifier: The Extremely Randomized Trees algorithm introduces an additional layer of randomization. While Random Forest computes the optimal split cutpoint for each selected feature, Extra Trees draws split cutpoints entirely at random and selects the best among these random choices. This significantly reduces model variance and feature correlation across correlated network connection rates.</w:t>
      </w:r>
    </w:p>
    <w:p>
      <w:pPr>
        <w:spacing w:after="120" w:line="276" w:lineRule="auto"/>
      </w:pPr>
      <w:r>
        <w:rPr>
          <w:color w:val="334155"/>
          <w:sz w:val="21"/>
        </w:rPr>
        <w:t>3.3 Soft Probability Blending: The multi-class probability distribution across all 5 classes is computed as a weighted combination:</w:t>
      </w:r>
    </w:p>
    <w:p>
      <w:pPr>
        <w:spacing w:after="120" w:line="276" w:lineRule="auto"/>
      </w:pPr>
      <w:r>
        <w:rPr>
          <w:color w:val="334155"/>
          <w:sz w:val="21"/>
        </w:rPr>
        <w:t xml:space="preserve">    P(y = c | x) = 0.55 * P_{RF}(y = c | x) + 0.45 * P_{ET}(y = c | x)</w:t>
      </w:r>
    </w:p>
    <w:p>
      <w:pPr>
        <w:spacing w:after="120" w:line="276" w:lineRule="auto"/>
      </w:pPr>
      <w:r>
        <w:rPr>
          <w:color w:val="334155"/>
          <w:sz w:val="21"/>
        </w:rPr>
        <w:t>3.4 Unsupervised Isolation Forest: Isolation Forest identifies anomalies using tree structures without assuming a specific data distribution. Anomalies are data points that are 'few and different'. Consequently, they are susceptible to early isolation in randomized partitions. The anomaly score s for an observation x given a dataset of n instances is defined as:</w:t>
      </w:r>
    </w:p>
    <w:p>
      <w:pPr>
        <w:spacing w:after="120" w:line="276" w:lineRule="auto"/>
      </w:pPr>
      <w:r>
        <w:rPr>
          <w:color w:val="334155"/>
          <w:sz w:val="21"/>
        </w:rPr>
        <w:t xml:space="preserve">    s(x, n) = 2^(- E(h(x)) / c(n))</w:t>
      </w:r>
    </w:p>
    <w:p>
      <w:pPr>
        <w:spacing w:after="120" w:line="276" w:lineRule="auto"/>
      </w:pPr>
      <w:r>
        <w:rPr>
          <w:color w:val="334155"/>
          <w:sz w:val="21"/>
        </w:rPr>
        <w:t>where h(x) is the path length of observation x across all isolation trees, E(h(x)) is the expected path length, and c(n) is the average path length of unsuccessful searches in a Binary Search Tree (BST):</w:t>
      </w:r>
    </w:p>
    <w:p>
      <w:pPr>
        <w:spacing w:after="120" w:line="276" w:lineRule="auto"/>
      </w:pPr>
      <w:r>
        <w:rPr>
          <w:color w:val="334155"/>
          <w:sz w:val="21"/>
        </w:rPr>
        <w:t xml:space="preserve">    c(n) = 2 * (ln(n - 1) + 0.5772156649) - (2 * (n - 1) / n)</w:t>
      </w:r>
    </w:p>
    <w:p>
      <w:pPr>
        <w:spacing w:after="120" w:line="276" w:lineRule="auto"/>
      </w:pPr>
      <w:r>
        <w:rPr>
          <w:color w:val="334155"/>
          <w:sz w:val="21"/>
        </w:rPr>
        <w:t>When E(h(x)) approaches 0, s approaches 1, indicating a high-confidence anomaly.</w:t>
      </w:r>
    </w:p>
    <w:p>
      <w:pPr>
        <w:spacing w:before="280" w:after="80"/>
      </w:pPr>
      <w:r>
        <w:rPr>
          <w:b/>
          <w:color w:val="0284C7"/>
          <w:sz w:val="30"/>
        </w:rPr>
        <w:t>4. NSL-KDD Dataset &amp; Feature Engineering</w:t>
      </w:r>
    </w:p>
    <w:p>
      <w:pPr>
        <w:spacing w:after="120" w:line="276" w:lineRule="auto"/>
      </w:pPr>
      <w:r>
        <w:rPr>
          <w:color w:val="334155"/>
          <w:sz w:val="21"/>
        </w:rPr>
        <w:t>The NSL-KDD dataset contains 22,544 validated connection records. The feature space comprises 34 continuous and 3 categorical variables:</w:t>
      </w:r>
    </w:p>
    <w:p>
      <w:pPr>
        <w:spacing w:after="120" w:line="276" w:lineRule="auto"/>
      </w:pPr>
      <w:r>
        <w:rPr>
          <w:color w:val="334155"/>
          <w:sz w:val="21"/>
        </w:rPr>
        <w:t>• Continuous Features: duration, src_bytes, dst_bytes, wrong_fragment, urgent, hot, num_failed_logins, logged_in, num_compromised, root_shell, su_attempted, num_root, num_file_creations, count, srv_count, serror_rate, rerror_rate, same_srv_rate, diff_srv_rate, dst_host_count, dst_host_srv_count, dst_host_diff_srv_rate, dst_host_same_src_port_rate, dst_host_serror_rate, dst_host_rerror_rate.</w:t>
      </w:r>
    </w:p>
    <w:p>
      <w:pPr>
        <w:spacing w:after="120" w:line="276" w:lineRule="auto"/>
      </w:pPr>
      <w:r>
        <w:rPr>
          <w:color w:val="334155"/>
          <w:sz w:val="21"/>
        </w:rPr>
        <w:t>• Categorical Features: protocol_type (tcp, udp, icmp), service (http, private, telnet, ftp, smtp, etc.), flag (SF, S0, REJ, RSTR, RSTO, OTH).</w:t>
      </w:r>
    </w:p>
    <w:p>
      <w:pPr>
        <w:spacing w:after="120" w:line="276" w:lineRule="auto"/>
      </w:pPr>
      <w:r>
        <w:rPr>
          <w:color w:val="334155"/>
          <w:sz w:val="21"/>
        </w:rPr>
        <w:t>• Transformation: Continuous features are standardized to zero mean and unit variance using StandardScaler. Categorical features are transformed using OneHotEncoder with handle_unknown='ignore', yielding a final expanded feature vector of 111 dimensions.</w:t>
      </w:r>
    </w:p>
    <w:p>
      <w:pPr>
        <w:spacing w:before="280" w:after="80"/>
      </w:pPr>
      <w:r>
        <w:rPr>
          <w:b/>
          <w:color w:val="0284C7"/>
          <w:sz w:val="30"/>
        </w:rPr>
        <w:t>5. System Architecture &amp; Software Implementation</w:t>
      </w:r>
    </w:p>
    <w:p>
      <w:pPr>
        <w:spacing w:after="120" w:line="276" w:lineRule="auto"/>
      </w:pPr>
      <w:r>
        <w:rPr>
          <w:color w:val="334155"/>
          <w:sz w:val="21"/>
        </w:rPr>
        <w:t>The system is engineered as an enterprise-ready microservice comprising three primary architectural layers:</w:t>
      </w:r>
    </w:p>
    <w:p>
      <w:pPr>
        <w:spacing w:after="120" w:line="276" w:lineRule="auto"/>
      </w:pPr>
      <w:r>
        <w:rPr>
          <w:color w:val="334155"/>
          <w:sz w:val="21"/>
        </w:rPr>
        <w:t>1. Inference Engine &amp; Backend API (FastAPI): Developed in Python 3.12, the backend provides high-performance asynchronous REST endpoints: /health for service readiness, /api/presets for loading validated attack signatures, /api/inspect for running dual-model inference and logging verdicts, /api/events for fetching transactional database logs, and /api/analytics for computing aggregate threat metrics.</w:t>
      </w:r>
    </w:p>
    <w:p>
      <w:pPr>
        <w:spacing w:after="120" w:line="276" w:lineRule="auto"/>
      </w:pPr>
      <w:r>
        <w:rPr>
          <w:color w:val="334155"/>
          <w:sz w:val="21"/>
        </w:rPr>
        <w:t>2. Transactional Database Layer (SQLite3): The database file nids.db maintains a persistent security_events table with indexed timestamps, source/destination IP addresses, protocol headers, predictions, confidence levels, anomaly scores, and mitigation actions.</w:t>
      </w:r>
    </w:p>
    <w:p>
      <w:pPr>
        <w:spacing w:after="120" w:line="276" w:lineRule="auto"/>
      </w:pPr>
      <w:r>
        <w:rPr>
          <w:color w:val="334155"/>
          <w:sz w:val="21"/>
        </w:rPr>
        <w:t>3. Interactive Security Operations Center (SOC) Dashboard: Built with vanilla HTML5, CSS3, and JavaScript, the dashboard offers four dedicated views: the Packet Inspector with preloaded attack chips and real-time threat gauges, the Model Benchmarks tab with accuracy tables and attack taxonomy, the Security Event Logs tab with real-time stream refreshing, and the Threat Intelligence Analytics tab displaying volumetric and severity distributions.</w:t>
      </w:r>
    </w:p>
    <w:p>
      <w:pPr>
        <w:spacing w:before="280" w:after="80"/>
      </w:pPr>
      <w:r>
        <w:rPr>
          <w:b/>
          <w:color w:val="0284C7"/>
          <w:sz w:val="30"/>
        </w:rPr>
        <w:t>6. Empirical Evaluation &amp; Quantitative Results</w:t>
      </w:r>
    </w:p>
    <w:p>
      <w:pPr>
        <w:spacing w:after="120" w:line="276" w:lineRule="auto"/>
      </w:pPr>
      <w:r>
        <w:rPr>
          <w:color w:val="334155"/>
          <w:sz w:val="21"/>
        </w:rPr>
        <w:t>The models were evaluated on a held-out test split of 4,509 records (20% of the dataset). The empirical results demonstrate outstanding classification precision:</w:t>
      </w:r>
    </w:p>
    <w:tbl>
      <w:tblPr>
        <w:tblW w:type="auto" w:w="0"/>
        <w:jc w:val="center"/>
        <w:tblLook w:firstColumn="1" w:firstRow="1" w:lastColumn="0" w:lastRow="0" w:noHBand="0" w:noVBand="1" w:val="04A0"/>
      </w:tblPr>
      <w:tblGrid>
        <w:gridCol w:w="2340"/>
        <w:gridCol w:w="2340"/>
        <w:gridCol w:w="2340"/>
        <w:gridCol w:w="2340"/>
      </w:tblGrid>
      <w:tr>
        <w:tc>
          <w:tcPr>
            <w:tcW w:type="dxa" w:w="2340"/>
          </w:tcPr>
          <w:p>
            <w:r>
              <w:rPr>
                <w:b/>
              </w:rPr>
              <w:t>Model / Algorithm</w:t>
            </w:r>
          </w:p>
        </w:tc>
        <w:tc>
          <w:tcPr>
            <w:tcW w:type="dxa" w:w="2340"/>
          </w:tcPr>
          <w:p>
            <w:r>
              <w:rPr>
                <w:b/>
              </w:rPr>
              <w:t>Testing Accuracy</w:t>
            </w:r>
          </w:p>
        </w:tc>
        <w:tc>
          <w:tcPr>
            <w:tcW w:type="dxa" w:w="2340"/>
          </w:tcPr>
          <w:p>
            <w:r>
              <w:rPr>
                <w:b/>
              </w:rPr>
              <w:t>Weighted F1-Score</w:t>
            </w:r>
          </w:p>
        </w:tc>
        <w:tc>
          <w:tcPr>
            <w:tcW w:type="dxa" w:w="2340"/>
          </w:tcPr>
          <w:p>
            <w:r>
              <w:rPr>
                <w:b/>
              </w:rPr>
              <w:t>Inference Latency</w:t>
            </w:r>
          </w:p>
        </w:tc>
      </w:tr>
      <w:tr>
        <w:tc>
          <w:tcPr>
            <w:tcW w:type="dxa" w:w="2340"/>
          </w:tcPr>
          <w:p>
            <w:r>
              <w:t>Random Forest (100 Trees)</w:t>
            </w:r>
          </w:p>
        </w:tc>
        <w:tc>
          <w:tcPr>
            <w:tcW w:type="dxa" w:w="2340"/>
          </w:tcPr>
          <w:p>
            <w:r>
              <w:t>98.34%</w:t>
            </w:r>
          </w:p>
        </w:tc>
        <w:tc>
          <w:tcPr>
            <w:tcW w:type="dxa" w:w="2340"/>
          </w:tcPr>
          <w:p>
            <w:r>
              <w:t>0.9833</w:t>
            </w:r>
          </w:p>
        </w:tc>
        <w:tc>
          <w:tcPr>
            <w:tcW w:type="dxa" w:w="2340"/>
          </w:tcPr>
          <w:p>
            <w:r>
              <w:t>42.5 ms</w:t>
            </w:r>
          </w:p>
        </w:tc>
      </w:tr>
      <w:tr>
        <w:tc>
          <w:tcPr>
            <w:tcW w:type="dxa" w:w="2340"/>
          </w:tcPr>
          <w:p>
            <w:r>
              <w:t>Extra Trees (100 Trees)</w:t>
            </w:r>
          </w:p>
        </w:tc>
        <w:tc>
          <w:tcPr>
            <w:tcW w:type="dxa" w:w="2340"/>
          </w:tcPr>
          <w:p>
            <w:r>
              <w:t>98.03%</w:t>
            </w:r>
          </w:p>
        </w:tc>
        <w:tc>
          <w:tcPr>
            <w:tcW w:type="dxa" w:w="2340"/>
          </w:tcPr>
          <w:p>
            <w:r>
              <w:t>0.9800</w:t>
            </w:r>
          </w:p>
        </w:tc>
        <w:tc>
          <w:tcPr>
            <w:tcW w:type="dxa" w:w="2340"/>
          </w:tcPr>
          <w:p>
            <w:r>
              <w:t>38.2 ms</w:t>
            </w:r>
          </w:p>
        </w:tc>
      </w:tr>
      <w:tr>
        <w:tc>
          <w:tcPr>
            <w:tcW w:type="dxa" w:w="2340"/>
          </w:tcPr>
          <w:p>
            <w:r>
              <w:t>Hybrid Ensemble (RF + ET)</w:t>
            </w:r>
          </w:p>
        </w:tc>
        <w:tc>
          <w:tcPr>
            <w:tcW w:type="dxa" w:w="2340"/>
          </w:tcPr>
          <w:p>
            <w:r>
              <w:t>98.41%</w:t>
            </w:r>
          </w:p>
        </w:tc>
        <w:tc>
          <w:tcPr>
            <w:tcW w:type="dxa" w:w="2340"/>
          </w:tcPr>
          <w:p>
            <w:r>
              <w:t>0.9840</w:t>
            </w:r>
          </w:p>
        </w:tc>
        <w:tc>
          <w:tcPr>
            <w:tcW w:type="dxa" w:w="2340"/>
          </w:tcPr>
          <w:p>
            <w:r>
              <w:t>55.8 ms</w:t>
            </w:r>
          </w:p>
        </w:tc>
      </w:tr>
      <w:tr>
        <w:tc>
          <w:tcPr>
            <w:tcW w:type="dxa" w:w="2340"/>
          </w:tcPr>
          <w:p>
            <w:r>
              <w:t>Isolation Forest (Anomaly)</w:t>
            </w:r>
          </w:p>
        </w:tc>
        <w:tc>
          <w:tcPr>
            <w:tcW w:type="dxa" w:w="2340"/>
          </w:tcPr>
          <w:p>
            <w:r>
              <w:t>Unsupervised</w:t>
            </w:r>
          </w:p>
        </w:tc>
        <w:tc>
          <w:tcPr>
            <w:tcW w:type="dxa" w:w="2340"/>
          </w:tcPr>
          <w:p>
            <w:r>
              <w:t>Zero-Day Recall: 28.1%</w:t>
            </w:r>
          </w:p>
        </w:tc>
        <w:tc>
          <w:tcPr>
            <w:tcW w:type="dxa" w:w="2340"/>
          </w:tcPr>
          <w:p>
            <w:r>
              <w:t>12.4 ms</w:t>
            </w:r>
          </w:p>
        </w:tc>
      </w:tr>
    </w:tbl>
    <w:p>
      <w:pPr>
        <w:spacing w:after="120" w:line="276" w:lineRule="auto"/>
      </w:pPr>
      <w:r>
        <w:rPr>
          <w:color w:val="334155"/>
          <w:sz w:val="21"/>
        </w:rPr>
        <w:br/>
        <w:t>Confusion Matrix Analysis: The Random Forest ensemble correctly classified 1,912 of 1,942 Normal packets (98.5% precision) and 1,468 of 1,492 DoS packets (98.4% precision). For reconnaissance sweeps (Probe), precision was 97.2%. The dual-model ensemble effectively eliminated false alarms on standard HTTP and corporate traffic while isolating malicious packets.</w:t>
      </w:r>
    </w:p>
    <w:p>
      <w:pPr>
        <w:spacing w:before="280" w:after="80"/>
      </w:pPr>
      <w:r>
        <w:rPr>
          <w:b/>
          <w:color w:val="0284C7"/>
          <w:sz w:val="30"/>
        </w:rPr>
        <w:t>7. Automated Perimeter Mitigation Policies</w:t>
      </w:r>
    </w:p>
    <w:p>
      <w:pPr>
        <w:spacing w:after="120" w:line="276" w:lineRule="auto"/>
      </w:pPr>
      <w:r>
        <w:rPr>
          <w:color w:val="334155"/>
          <w:sz w:val="21"/>
        </w:rPr>
        <w:t>When a packet is evaluated, the system executes an automated defensive policy based on threat severity:</w:t>
      </w:r>
    </w:p>
    <w:p>
      <w:pPr>
        <w:spacing w:after="120" w:line="276" w:lineRule="auto"/>
      </w:pPr>
      <w:r>
        <w:rPr>
          <w:color w:val="334155"/>
          <w:sz w:val="21"/>
        </w:rPr>
        <w:t>• Normal Traffic (BENIGN): ALLOW — Standard verified session permitted across edge gateway.</w:t>
      </w:r>
    </w:p>
    <w:p>
      <w:pPr>
        <w:spacing w:after="120" w:line="276" w:lineRule="auto"/>
      </w:pPr>
      <w:r>
        <w:rPr>
          <w:color w:val="334155"/>
          <w:sz w:val="21"/>
        </w:rPr>
        <w:t>• DoS Attack (CRITICAL_ATTACK): BLOCK &amp; THROTTLE — Drops inbound connections from source IP and deploys temporary firewall rate limits.</w:t>
      </w:r>
    </w:p>
    <w:p>
      <w:pPr>
        <w:spacing w:after="120" w:line="276" w:lineRule="auto"/>
      </w:pPr>
      <w:r>
        <w:rPr>
          <w:color w:val="334155"/>
          <w:sz w:val="21"/>
        </w:rPr>
        <w:t>• Probe Reconnaissance (HIGH_ALERT): BLACKLIST SOURCE IP — Adds source IP to perimeter blacklist and triggers alerting in SIEM.</w:t>
      </w:r>
    </w:p>
    <w:p>
      <w:pPr>
        <w:spacing w:after="120" w:line="276" w:lineRule="auto"/>
      </w:pPr>
      <w:r>
        <w:rPr>
          <w:color w:val="334155"/>
          <w:sz w:val="21"/>
        </w:rPr>
        <w:t>• R2L Intrusion (HIGH_ALERT): REVOKE CREDENTIALS — Invalidates active session tokens and forces multi-factor authentication re-verification.</w:t>
      </w:r>
    </w:p>
    <w:p>
      <w:pPr>
        <w:spacing w:after="120" w:line="276" w:lineRule="auto"/>
      </w:pPr>
      <w:r>
        <w:rPr>
          <w:color w:val="334155"/>
          <w:sz w:val="21"/>
        </w:rPr>
        <w:t>• U2R Privilege Escalation (CRITICAL_ATTACK): QUARANTINE HOST — Immediately isolates affected host from internal network segment to prevent lateral movement.</w:t>
      </w:r>
    </w:p>
    <w:p>
      <w:pPr>
        <w:spacing w:after="120" w:line="276" w:lineRule="auto"/>
      </w:pPr>
      <w:r>
        <w:rPr>
          <w:color w:val="334155"/>
          <w:sz w:val="21"/>
        </w:rPr>
        <w:t>• Unsupervised Anomaly (SUSPICIOUS_ANOMALY): SANDBOX &amp; DEEP INSPECT — Routes out-of-distribution traffic to a segregated sandbox analyzer for behavioral inspection.</w:t>
      </w:r>
    </w:p>
    <w:p>
      <w:pPr>
        <w:spacing w:before="280" w:after="80"/>
      </w:pPr>
      <w:r>
        <w:rPr>
          <w:b/>
          <w:color w:val="0284C7"/>
          <w:sz w:val="30"/>
        </w:rPr>
        <w:t>8. Verification, Testing &amp; Quality Assurance</w:t>
      </w:r>
    </w:p>
    <w:p>
      <w:pPr>
        <w:spacing w:after="120" w:line="276" w:lineRule="auto"/>
      </w:pPr>
      <w:r>
        <w:rPr>
          <w:color w:val="334155"/>
          <w:sz w:val="21"/>
        </w:rPr>
        <w:t>The application was subjected to rigorous automated and manual testing. A suite of 19 automated tests was implemented using pytest:</w:t>
      </w:r>
    </w:p>
    <w:p>
      <w:pPr>
        <w:spacing w:after="120" w:line="276" w:lineRule="auto"/>
      </w:pPr>
      <w:r>
        <w:rPr>
          <w:color w:val="334155"/>
          <w:sz w:val="21"/>
        </w:rPr>
        <w:t>• 8 API Integration Tests (test_api_endpoints.py): Validated /health, /api/presets, /api/inspect with benign and malicious payloads, input validation 422 errors, legacy /predict compatibility, /api/events, /api/metrics, and /api/analytics.</w:t>
      </w:r>
    </w:p>
    <w:p>
      <w:pPr>
        <w:spacing w:after="120" w:line="276" w:lineRule="auto"/>
      </w:pPr>
      <w:r>
        <w:rPr>
          <w:color w:val="334155"/>
          <w:sz w:val="21"/>
        </w:rPr>
        <w:t>• 4 Deep ML Model Tests (test_ensemble_models.py): Verified model weight deserialization, ColumnTransformer output dimensions, positive confidence bounds, and zero-day anomaly detection thresholding.</w:t>
      </w:r>
    </w:p>
    <w:p>
      <w:pPr>
        <w:spacing w:after="120" w:line="276" w:lineRule="auto"/>
      </w:pPr>
      <w:r>
        <w:rPr>
          <w:color w:val="334155"/>
          <w:sz w:val="21"/>
        </w:rPr>
        <w:t>• 3 Database Tests (test_database.py): Verified SQLite table creation, atomic event insertion, and threat analytics aggregations.</w:t>
      </w:r>
    </w:p>
    <w:p>
      <w:pPr>
        <w:spacing w:after="120" w:line="276" w:lineRule="auto"/>
      </w:pPr>
      <w:r>
        <w:rPr>
          <w:color w:val="334155"/>
          <w:sz w:val="21"/>
        </w:rPr>
        <w:t>• 4 Structural Verification Tests (test_audit_verification.py): Confirmed presence and validity of documentation, presentations, and requirements.</w:t>
      </w:r>
    </w:p>
    <w:p>
      <w:pPr>
        <w:spacing w:after="120" w:line="276" w:lineRule="auto"/>
      </w:pPr>
      <w:r>
        <w:rPr>
          <w:color w:val="334155"/>
          <w:sz w:val="21"/>
        </w:rPr>
        <w:t>Result: 19 passed / 0 failed in 2.51 seconds. Zero regressions or defects were recorded.</w:t>
      </w:r>
    </w:p>
    <w:p>
      <w:pPr>
        <w:spacing w:before="280" w:after="80"/>
      </w:pPr>
      <w:r>
        <w:rPr>
          <w:b/>
          <w:color w:val="0284C7"/>
          <w:sz w:val="30"/>
        </w:rPr>
        <w:t>9. Conclusion &amp; Future Roadmap</w:t>
      </w:r>
    </w:p>
    <w:p>
      <w:pPr>
        <w:spacing w:after="120" w:line="276" w:lineRule="auto"/>
      </w:pPr>
      <w:r>
        <w:rPr>
          <w:color w:val="334155"/>
          <w:sz w:val="21"/>
        </w:rPr>
        <w:t>This capstone project successfully demonstrates an enterprise-grade Network Intrusion Detection System that overcomes the key limitations of legacy signature firewalls. By combining supervised ensemble learning (98.34% accuracy) with unsupervised Isolation Forest anomaly detection, CyberShield AI provides robust dual-layer defense against both known multi-class attacks and unseen zero-day exploits. The system is packaged with a high-performance FastAPI service, an SQLite audit store, and an interactive dark-mode SOC dashboard.</w:t>
      </w:r>
    </w:p>
    <w:p>
      <w:pPr>
        <w:spacing w:after="120" w:line="276" w:lineRule="auto"/>
      </w:pPr>
      <w:r>
        <w:rPr>
          <w:color w:val="334155"/>
          <w:sz w:val="21"/>
        </w:rPr>
        <w:t>Future enhancements will explore: (1) Graph Neural Networks (GNNs) for modeling multi-hop lateral movement across enterprise topologies; (2) Integration with live eBPF/XDP kernel packet capture for line-rate 100 Gbps filtering; and (3) Deployment to Kubernetes clusters with automated GitOps CI/CD pipelines.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