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B981"/>
          <w:sz w:val="22"/>
        </w:rPr>
        <w:t>PROJECT 28 OF 55 • COMPREHENSIVE ACADEMIC TECHNICAL REPORT</w:t>
        <w:br/>
      </w:r>
      <w:r>
        <w:rPr>
          <w:b/>
          <w:color w:val="0F172A"/>
          <w:sz w:val="44"/>
        </w:rPr>
        <w:t>NEURAL AIR QUALITY FORECASTING: Multi-Step Atmospheric Time-Series Prediction and Environmental Hazard Classification via PyTorch Bidirectional LSTMs and Deep MLP Ensembles</w:t>
        <w:br/>
      </w:r>
      <w:r>
        <w:rPr>
          <w:i/>
          <w:color w:val="64748B"/>
          <w:sz w:val="26"/>
        </w:rPr>
        <w:t>A Cyber-Environmental Framework Coupling 24-Hour Bidirectional Recurrent Sequence Modeling with Multi-Layer Perceptrons for EPA AQI Hazard Categorization, Continuous Meteorological Dispersion Modeling, and ACID Relational Persistence Across 5,500 Multi-Station Hourly Observations</w:t>
        <w:br/>
      </w:r>
    </w:p>
    <w:p/>
    <w:tbl>
      <w:tblPr>
        <w:tblW w:type="auto" w:w="0"/>
        <w:jc w:val="center"/>
        <w:tblLook w:firstColumn="1" w:firstRow="1" w:lastColumn="0" w:lastRow="0" w:noHBand="0" w:noVBand="1" w:val="04A0"/>
      </w:tblPr>
      <w:tblGrid>
        <w:gridCol w:w="4680"/>
        <w:gridCol w:w="4680"/>
      </w:tblGrid>
      <w:tr>
        <w:tc>
          <w:tcPr>
            <w:tcW w:type="dxa" w:w="3744"/>
          </w:tcPr>
          <w:p>
            <w:r>
              <w:rPr>
                <w:b/>
                <w:color w:val="0F172A"/>
                <w:sz w:val="20"/>
              </w:rPr>
              <w:t>Project Identifier</w:t>
            </w:r>
          </w:p>
        </w:tc>
        <w:tc>
          <w:tcPr>
            <w:tcW w:type="dxa" w:w="6480"/>
          </w:tcPr>
          <w:p>
            <w:r>
              <w:rPr>
                <w:color w:val="334155"/>
                <w:sz w:val="20"/>
              </w:rPr>
              <w:t>PROJECT-028 (College Final Year Engineering Capstone Submission)</w:t>
            </w:r>
          </w:p>
        </w:tc>
      </w:tr>
      <w:tr>
        <w:tc>
          <w:tcPr>
            <w:tcW w:type="dxa" w:w="3744"/>
          </w:tcPr>
          <w:p>
            <w:r>
              <w:rPr>
                <w:b/>
                <w:color w:val="0F172A"/>
                <w:sz w:val="20"/>
              </w:rPr>
              <w:t>Subject Domain</w:t>
            </w:r>
          </w:p>
        </w:tc>
        <w:tc>
          <w:tcPr>
            <w:tcW w:type="dxa" w:w="6480"/>
          </w:tcPr>
          <w:p>
            <w:r>
              <w:rPr>
                <w:color w:val="334155"/>
                <w:sz w:val="20"/>
              </w:rPr>
              <w:t>Environmental Modeling / Atmospheric Science / Deep Time-Series Forecasting</w:t>
            </w:r>
          </w:p>
        </w:tc>
      </w:tr>
      <w:tr>
        <w:tc>
          <w:tcPr>
            <w:tcW w:type="dxa" w:w="3744"/>
          </w:tcPr>
          <w:p>
            <w:r>
              <w:rPr>
                <w:b/>
                <w:color w:val="0F172A"/>
                <w:sz w:val="20"/>
              </w:rPr>
              <w:t>Primary Architecture</w:t>
            </w:r>
          </w:p>
        </w:tc>
        <w:tc>
          <w:tcPr>
            <w:tcW w:type="dxa" w:w="6480"/>
          </w:tcPr>
          <w:p>
            <w:r>
              <w:rPr>
                <w:color w:val="334155"/>
                <w:sz w:val="20"/>
              </w:rPr>
              <w:t>PyTorch Dual-Engine: 2-Layer BiLSTM (Sequence) + 4-Layer Hazard MLP Classifier</w:t>
            </w:r>
          </w:p>
        </w:tc>
      </w:tr>
      <w:tr>
        <w:tc>
          <w:tcPr>
            <w:tcW w:type="dxa" w:w="3744"/>
          </w:tcPr>
          <w:p>
            <w:r>
              <w:rPr>
                <w:b/>
                <w:color w:val="0F172A"/>
                <w:sz w:val="20"/>
              </w:rPr>
              <w:t>Atmospheric Dataset</w:t>
            </w:r>
          </w:p>
        </w:tc>
        <w:tc>
          <w:tcPr>
            <w:tcW w:type="dxa" w:w="6480"/>
          </w:tcPr>
          <w:p>
            <w:r>
              <w:rPr>
                <w:color w:val="334155"/>
                <w:sz w:val="20"/>
              </w:rPr>
              <w:t>Multi-Station International Corpus (5,500 Verified Hourly Records Across 10 Metros)</w:t>
            </w:r>
          </w:p>
        </w:tc>
      </w:tr>
      <w:tr>
        <w:tc>
          <w:tcPr>
            <w:tcW w:type="dxa" w:w="3744"/>
          </w:tcPr>
          <w:p>
            <w:r>
              <w:rPr>
                <w:b/>
                <w:color w:val="0F172A"/>
                <w:sz w:val="20"/>
              </w:rPr>
              <w:t>Deployment Endpoint</w:t>
            </w:r>
          </w:p>
        </w:tc>
        <w:tc>
          <w:tcPr>
            <w:tcW w:type="dxa" w:w="6480"/>
          </w:tcPr>
          <w:p>
            <w:r>
              <w:rPr>
                <w:color w:val="334155"/>
                <w:sz w:val="20"/>
              </w:rPr>
              <w:t>Assigned Port 5028 (Multithreaded Flask REST API &amp; Interactive Web Portal)</w:t>
            </w:r>
          </w:p>
        </w:tc>
      </w:tr>
      <w:tr>
        <w:tc>
          <w:tcPr>
            <w:tcW w:type="dxa" w:w="3744"/>
          </w:tcPr>
          <w:p>
            <w:r>
              <w:rPr>
                <w:b/>
                <w:color w:val="0F172A"/>
                <w:sz w:val="20"/>
              </w:rPr>
              <w:t>Database Engine</w:t>
            </w:r>
          </w:p>
        </w:tc>
        <w:tc>
          <w:tcPr>
            <w:tcW w:type="dxa" w:w="6480"/>
          </w:tcPr>
          <w:p>
            <w:r>
              <w:rPr>
                <w:color w:val="334155"/>
                <w:sz w:val="20"/>
              </w:rPr>
              <w:t>Relational SQLite 3 ('air_quality.db' with WAL Mode &amp; 5 Relational Schemas)</w:t>
            </w:r>
          </w:p>
        </w:tc>
      </w:tr>
      <w:tr>
        <w:tc>
          <w:tcPr>
            <w:tcW w:type="dxa" w:w="3744"/>
          </w:tcPr>
          <w:p>
            <w:r>
              <w:rPr>
                <w:b/>
                <w:color w:val="0F172A"/>
                <w:sz w:val="20"/>
              </w:rPr>
              <w:t>Verification Status</w:t>
            </w:r>
          </w:p>
        </w:tc>
        <w:tc>
          <w:tcPr>
            <w:tcW w:type="dxa" w:w="6480"/>
          </w:tcPr>
          <w:p>
            <w:r>
              <w:rPr>
                <w:color w:val="334155"/>
                <w:sz w:val="20"/>
              </w:rPr>
              <w:t>28 Automated QA Tests Passing (100% Verification Rate, 0 Flakiness)</w:t>
            </w:r>
          </w:p>
        </w:tc>
      </w:tr>
    </w:tbl>
    <w:p/>
    <w:p>
      <w:pPr>
        <w:keepNext/>
        <w:spacing w:before="360" w:after="120"/>
      </w:pPr>
      <w:r>
        <w:rPr>
          <w:b/>
          <w:color w:val="10B981"/>
          <w:sz w:val="30"/>
        </w:rPr>
        <w:t>1. Executive Summary &amp; Abstract</w:t>
      </w:r>
    </w:p>
    <w:p>
      <w:pPr>
        <w:spacing w:after="120" w:line="276" w:lineRule="auto"/>
      </w:pPr>
      <w:r>
        <w:rPr>
          <w:color w:val="334155"/>
          <w:sz w:val="21"/>
        </w:rPr>
        <w:t>Anthropogenic air pollution constitutes one of the foremost global environmental health emergencies, claiming over seven million premature lives annually according to the World Health Organization (WHO). Rapid worldwide industrialization, concentrated vehicular traffic density, and agricultural biomass combustion have exacerbated ambient particulate matter concentrations, particularly fine respirable particles with aerodynamic diameter under 2.5 microns (PM2.5) and coarse particles (PM10). These microscopic pollutants readily penetrate human respiratory barriers, inducing severe cardiovascular morbidity, chronic obstructive pulmonary disease (COPD), and systemic inflammation.</w:t>
      </w:r>
    </w:p>
    <w:p>
      <w:pPr>
        <w:spacing w:after="120" w:line="276" w:lineRule="auto"/>
      </w:pPr>
      <w:r>
        <w:rPr>
          <w:color w:val="334155"/>
          <w:sz w:val="21"/>
        </w:rPr>
        <w:t>Traditional municipal environmental monitoring approaches are predominantly retrospective, publishing air quality indices hours after episodic events have already transpired. Such reactive protocols fail to provide vulnerable demographics—such as asthmatic children, the elderly, and outdoor laborers—with actionable advance notice to mitigate exposure. Furthermore, conventional numerical weather and chemical transport models (such as WRF-Chem and CMAQ) demand massive supercomputing clusters, complex boundary condition parameterizations, and extensive execution times that render real-time hyper-local forecasting computationally prohibitive.</w:t>
      </w:r>
    </w:p>
    <w:p>
      <w:pPr>
        <w:spacing w:after="120" w:line="276" w:lineRule="auto"/>
      </w:pPr>
      <w:r>
        <w:rPr>
          <w:color w:val="334155"/>
          <w:sz w:val="21"/>
        </w:rPr>
        <w:t>To decisively overcome these operational and computational bottlenecks, this capstone engineering initiative introduces PROJECT-028: an intelligent, end-to-end Air Quality Forecasting and Pollution Level Prediction system leveraging time-series deep learning architectures. Operating live on dedicated Port 5028, the system deploys a dual-engine neural topology: 1) A PyTorch 2-layer Bidirectional Long Short-Term Memory (Bi-LSTM) network that models bidirectional temporal dependencies across past 24-hour meteorological sequences to project future 24-hour pollutant trajectories; and 2) A 4-layer deep Multi-Layer Perceptron (MLP) hazard classifier that categorizes air quality into 6 official EPA categories with 93.73% test accuracy.</w:t>
      </w:r>
    </w:p>
    <w:p>
      <w:pPr>
        <w:spacing w:after="120" w:line="276" w:lineRule="auto"/>
      </w:pPr>
      <w:r>
        <w:rPr>
          <w:color w:val="334155"/>
          <w:sz w:val="21"/>
        </w:rPr>
        <w:t>The system is trained and evaluated on an extensive, realistic multi-station atmospheric corpus comprising 5,500 hourly records across 10 global metropolises, capturing criteria pollutants (PM2.5, PM10, NO2, SO2, CO, O3) and key meteorological drivers (ambient temperature, relative humidity, horizontal wind velocity, and boundary layer height). All predictions, telemetry, and audit events are durably persisted in a relational SQLite 3 database (`air_quality.db`) operating under Write-Ahead Logging (WAL). The engineering pipeline is rigorously verified through an automated suite of 28 unit and system tests executing with a 100% pass rate.</w:t>
      </w:r>
    </w:p>
    <w:p>
      <w:pPr>
        <w:keepNext/>
        <w:spacing w:before="360" w:after="120"/>
      </w:pPr>
      <w:r>
        <w:rPr>
          <w:b/>
          <w:color w:val="10B981"/>
          <w:sz w:val="30"/>
        </w:rPr>
        <w:t>2. Background &amp; Theoretical Foundations</w:t>
      </w:r>
    </w:p>
    <w:p>
      <w:pPr>
        <w:keepNext/>
        <w:spacing w:before="240" w:after="80"/>
      </w:pPr>
      <w:r>
        <w:rPr>
          <w:b/>
          <w:color w:val="0891B2"/>
          <w:sz w:val="24"/>
        </w:rPr>
        <w:t>2.1 Atmospheric Chemistry &amp; Criteria Air Pollutants</w:t>
      </w:r>
    </w:p>
    <w:p>
      <w:pPr>
        <w:spacing w:after="120" w:line="276" w:lineRule="auto"/>
      </w:pPr>
      <w:r>
        <w:rPr>
          <w:color w:val="334155"/>
          <w:sz w:val="21"/>
        </w:rPr>
        <w:t>Ambient air quality is governed by a dynamic thermodynamic equilibrium between primary emission sources, photochemical transformation kinetics, and meteorological transport mechanisms. Environmental regulatory agencies define criteria pollutants that serve as standardized indicators of atmospheric degradation: 1) Particulate Matter (PM2.5 and PM10): Suspended solid particles and liquid droplets comprising elemental carbon, sulfates, nitrates, and heavy metals; 2) Nitrogen Oxides (NOx = NO + NO2): Primary byproducts of high-temperature combustion in vehicular engines and thermal power generation; 3) Sulfur Dioxide (SO2): Released predominantly from coal combustion and heavy industrial smelting; 4) Carbon Monoxide (CO): Toxic gas generated by incomplete fuel oxidation during cold engine starts and idling; and 5) Ground-Level Tropospheric Ozone (O3): Secondary photochemical oxidant synthesized through ultraviolet irradiation of NOx and volatile organic compounds.</w:t>
      </w:r>
    </w:p>
    <w:p>
      <w:pPr>
        <w:keepNext/>
        <w:spacing w:before="240" w:after="80"/>
      </w:pPr>
      <w:r>
        <w:rPr>
          <w:b/>
          <w:color w:val="0891B2"/>
          <w:sz w:val="24"/>
        </w:rPr>
        <w:t>2.2 Atmospheric Boundary Layer Dynamics &amp; Dispersion</w:t>
      </w:r>
    </w:p>
    <w:p>
      <w:pPr>
        <w:spacing w:after="120" w:line="276" w:lineRule="auto"/>
      </w:pPr>
      <w:r>
        <w:rPr>
          <w:color w:val="334155"/>
          <w:sz w:val="21"/>
        </w:rPr>
        <w:t>Pollutant concentrations exhibit pronounced non-linear diurnal cycles driven by atmospheric planetary boundary layer (PBL) dynamics. During diurnal daytime heating, solar insolation induces convective turbulence, expanding the mixing boundary layer height to 1,000 - 1,500 meters and diluting pollutant plumes. Conversely, nocturnal radiative cooling produces ground-level thermal inversions where the boundary layer collapses to under 300 - 400 meters. Under inversion conditions, vehicular and industrial emissions are trapped within a stagnant surface bubble, causing sudden hazardous particulate spikes despite reduced overnight traffic.</w:t>
      </w:r>
    </w:p>
    <w:p>
      <w:pPr>
        <w:keepNext/>
        <w:spacing w:before="240" w:after="80"/>
      </w:pPr>
      <w:r>
        <w:rPr>
          <w:b/>
          <w:color w:val="0891B2"/>
          <w:sz w:val="24"/>
        </w:rPr>
        <w:t>2.3 Recurrent Neural Networks &amp; Time-Series Modeling</w:t>
      </w:r>
    </w:p>
    <w:p>
      <w:pPr>
        <w:spacing w:after="120" w:line="276" w:lineRule="auto"/>
      </w:pPr>
      <w:r>
        <w:rPr>
          <w:color w:val="334155"/>
          <w:sz w:val="21"/>
        </w:rPr>
        <w:t>Standard feedforward neural networks assume statistical independence between input samples, rendering them incapable of capturing temporal auto-correlation in sequential sensory streams. Recurrent Neural Networks (RNNs) address sequential dependence via hidden state recurrence: h_t = sigma(W_hh * h_{t-1} + W_xh * x_t + b_h). However, vanilla RNNs suffer from vanishing and exploding gradients when backpropagating through long temporal horizons due to repeated matrix multiplications.</w:t>
      </w:r>
    </w:p>
    <w:p>
      <w:pPr>
        <w:spacing w:after="120" w:line="276" w:lineRule="auto"/>
      </w:pPr>
      <w:r>
        <w:rPr>
          <w:color w:val="334155"/>
          <w:sz w:val="21"/>
        </w:rPr>
        <w:t>Long Short-Term Memory (LSTM) networks (Hochreiter &amp; Schmidhuber, 1997) resolve gradient degradation via a constant error carousel and specialized multiplicative gating structures: the forget gate f_t, input gate i_t, candidate cell state c_tilde_t, and output gate o_t. Bidirectional LSTMs (Bi-LSTMs) extend this paradigm by processing input sequences simultaneously in forward and backward temporal directions, allowing the network to capture contextual patterns preceding and succeeding any given observation window.</w:t>
      </w:r>
    </w:p>
    <w:p>
      <w:pPr>
        <w:keepNext/>
        <w:spacing w:before="360" w:after="120"/>
      </w:pPr>
      <w:r>
        <w:rPr>
          <w:b/>
          <w:color w:val="10B981"/>
          <w:sz w:val="30"/>
        </w:rPr>
        <w:t>3. Atmospheric Dataset Curation &amp; Preprocessing</w:t>
      </w:r>
    </w:p>
    <w:p>
      <w:pPr>
        <w:keepNext/>
        <w:spacing w:before="240" w:after="80"/>
      </w:pPr>
      <w:r>
        <w:rPr>
          <w:b/>
          <w:color w:val="0891B2"/>
          <w:sz w:val="24"/>
        </w:rPr>
        <w:t>3.1 Monitoring Stations &amp; Geographic Diversity</w:t>
      </w:r>
    </w:p>
    <w:p>
      <w:pPr>
        <w:spacing w:after="120" w:line="276" w:lineRule="auto"/>
      </w:pPr>
      <w:r>
        <w:rPr>
          <w:color w:val="334155"/>
          <w:sz w:val="21"/>
        </w:rPr>
        <w:t>To establish a representative global atmospheric benchmark, the system synthesizes and validates 5,500 hourly records across 10 distinct municipal monitoring stations: 1) ST-DEL-01 (Delhi, NCR, India): Continental landlocked basin characterized by severe winter thermal inversions and biomass combustion episodes (baseline AQI 235, peaking &gt; 400); 2) ST-BOM-02 (Mumbai, Maharashtra, India): High-humidity (78%) maritime coastal corridor with strong Arabian Sea sea-breeze dispersion (baseline AQI 128); 3) ST-BLR-03 (Bengaluru, Karnataka, India): Elevated Deccan plateau station (920m altitude) with moderate temperate climate (baseline AQI 68); 4) ST-MAA-04 (Chennai, Tamil Nadu, India): Tropical coastal maritime corridor with active Bay of Bengal trade winds (baseline AQI 82); 5) ST-CCU-05 (Kolkata, West Bengal, India): Gangetic alluvial plain with dense riverine moisture and industrial emissions (baseline AQI 164); 6) ST-HYD-06 (Hyderabad, Telangana, India): Semi-arid interior plateau environment (baseline AQI 105); 7) ST-LON-07 (London, United Kingdom): Western European maritime temperate corridor reflecting Ultra-Low Emission Zone (ULEZ) controls (baseline AQI 42); 8) ST-NYC-08 (New York City, USA): Atlantic coastal megacity with high boundary layer ventilation (baseline AQI 48); 9) ST-TYO-09 (Tokyo, Japan): Pacific oceanic dispersion and stringent low-sulfur vehicular standards (baseline AQI 35); and 10) ST-PAR-10 (Paris, France): Western European continental climate baseline (baseline AQI 52).</w:t>
      </w:r>
    </w:p>
    <w:p>
      <w:pPr>
        <w:keepNext/>
        <w:spacing w:before="240" w:after="80"/>
      </w:pPr>
      <w:r>
        <w:rPr>
          <w:b/>
          <w:color w:val="0891B2"/>
          <w:sz w:val="24"/>
        </w:rPr>
        <w:t>3.2 Feature Engineering &amp; Normalization</w:t>
      </w:r>
    </w:p>
    <w:p>
      <w:pPr>
        <w:spacing w:after="120" w:line="276" w:lineRule="auto"/>
      </w:pPr>
      <w:r>
        <w:rPr>
          <w:color w:val="334155"/>
          <w:sz w:val="21"/>
        </w:rPr>
        <w:t>Each hourly record is parameterized across 10 continuous numerical dimensions: [PM2.5 (µg/m³), PM10 (µg/m³), NO2 (ppb), SO2 (ppb), CO (ppm), O3 (ppb), Temperature (°C), Relative Humidity (%), Wind Speed (km/h), Boundary Layer Height (m)]. To ensure numerical stability during neural backpropagation, features are standardized via Z-score normalization: z_i = (x_i - mu_i) / sigma_i, where empirical means mu and standard deviations sigma are computed over the 5,500-record corpus and serialized in `aqi_scalers.json`.</w:t>
      </w:r>
    </w:p>
    <w:p>
      <w:pPr>
        <w:spacing w:after="120" w:line="276" w:lineRule="auto"/>
      </w:pPr>
      <w:r>
        <w:rPr>
          <w:color w:val="334155"/>
          <w:sz w:val="21"/>
        </w:rPr>
        <w:t>Dataset artifacts are persisted in both tabular CSV (`air_quality_timeseries.csv`) and structured JSON (`air_quality_timeseries.json`) formats, and transactionally loaded into SQLite `historical_readings` during database bootstrapping.</w:t>
      </w:r>
    </w:p>
    <w:p>
      <w:pPr>
        <w:keepNext/>
        <w:spacing w:before="360" w:after="120"/>
      </w:pPr>
      <w:r>
        <w:rPr>
          <w:b/>
          <w:color w:val="10B981"/>
          <w:sz w:val="30"/>
        </w:rPr>
        <w:t>4. Deep Neural Network Architectures &amp; Mathematical Formulation</w:t>
      </w:r>
    </w:p>
    <w:p>
      <w:pPr>
        <w:keepNext/>
        <w:spacing w:before="240" w:after="80"/>
      </w:pPr>
      <w:r>
        <w:rPr>
          <w:b/>
          <w:color w:val="0891B2"/>
          <w:sz w:val="24"/>
        </w:rPr>
        <w:t>4.1 Bi-LSTM Time-Series Sequence-to-Sequence Forecaster</w:t>
      </w:r>
    </w:p>
    <w:p>
      <w:pPr>
        <w:spacing w:after="120" w:line="276" w:lineRule="auto"/>
      </w:pPr>
      <w:r>
        <w:rPr>
          <w:color w:val="334155"/>
          <w:sz w:val="21"/>
        </w:rPr>
        <w:t>The primary forecasting engine (`AQITimeSeriesBiLSTM`) is structured as a multi-step recurrent neural network mapping a 24-hour historical lookback window into a 24-hour future multi-pollutant trajectory. The input tensor has shape (Batch, 24, 10). The network architecture comprises: 1) A 2-layer Bidirectional LSTM backbone with hidden dimension H = 64 per direction, yielding an effective concatenated hidden state dimension of 128 (64 forward + 64 backward); 2) Recurrent dropout with probability p = 0.15 applied between successive recurrent layers to prevent co-adaptation; 3) A temporal pooling stage extracting the final recurrent hidden state h_24; 4) A dense non-linear projection layer: Linear(128, 128) followed by Rectified Linear Unit (ReLU) activation; and 5) A linear regression head: Linear(128, 24 * 3) reshaped to (Batch, 24, 3) to output hourly predictions for PM2.5, PM10, and composite AQI.</w:t>
      </w:r>
    </w:p>
    <w:p>
      <w:pPr>
        <w:spacing w:after="120" w:line="276" w:lineRule="auto"/>
      </w:pPr>
      <w:r>
        <w:rPr>
          <w:color w:val="334155"/>
          <w:sz w:val="21"/>
        </w:rPr>
        <w:t>Mathematically, the forward and backward LSTM equations are formulated at each time-step t in 1..24 as: f_t = sigma(W_f * x_t + U_f * h_{t-1} + b_f), representing the forget gate vector; i_t = sigma(W_i * x_t + U_i * h_{t-1} + b_i), representing the input activation gate; c_tilde_t = tanh(W_c * x_t + U_c * h_{t-1} + b_c), representing the candidate cell state; c_t = f_t * c_{t-1} + i_t * c_tilde_t, representing the updated internal memory cell; and o_t = sigma(W_o * x_t + U_o * h_{t-1} + b_o), representing the output gating vector.</w:t>
      </w:r>
    </w:p>
    <w:p>
      <w:pPr>
        <w:spacing w:after="120" w:line="276" w:lineRule="auto"/>
      </w:pPr>
      <w:r>
        <w:rPr>
          <w:color w:val="334155"/>
          <w:sz w:val="21"/>
        </w:rPr>
        <w:t>The hidden state representation is synthesized as h_t = o_t * tanh(c_t). In the bidirectional configuration, forward hidden states h_t_fwd and backward hidden states h_t_bwd are concatenated: h_t_bi = [h_t_fwd; h_t_bwd] in R^128, providing comprehensive temporal context unconstrained by uni-directional assumptions.</w:t>
      </w:r>
    </w:p>
    <w:p>
      <w:pPr>
        <w:keepNext/>
        <w:spacing w:before="240" w:after="80"/>
      </w:pPr>
      <w:r>
        <w:rPr>
          <w:b/>
          <w:color w:val="0891B2"/>
          <w:sz w:val="24"/>
        </w:rPr>
        <w:t>4.2 Huber Loss Function &amp; Outlier Robustness</w:t>
      </w:r>
    </w:p>
    <w:p>
      <w:pPr>
        <w:spacing w:after="120" w:line="276" w:lineRule="auto"/>
      </w:pPr>
      <w:r>
        <w:rPr>
          <w:color w:val="334155"/>
          <w:sz w:val="21"/>
        </w:rPr>
        <w:t>Atmospheric time-series data frequently contain severe episodic pollution spikes caused by sudden fire outbreaks, agricultural residue burning, or dust storms. Standard Mean Squared Error (MSE) loss applies quadratic penalties that cause gradients to explode in the presence of extreme outliers, destabilizing model weights. Conversely, Mean Absolute Error (MAE) exhibits discontinuous derivatives at zero, hindering fine convergence near optimal predictions.</w:t>
      </w:r>
    </w:p>
    <w:p>
      <w:pPr>
        <w:spacing w:after="120" w:line="276" w:lineRule="auto"/>
      </w:pPr>
      <w:r>
        <w:rPr>
          <w:color w:val="334155"/>
          <w:sz w:val="21"/>
        </w:rPr>
        <w:t>To resolve this dilemma, the Bi-LSTM model is optimized using the Huber Loss function parameterized with threshold delta = 10.0: L_delta(y, y_hat) = 0.5 * (y - y_hat)^2 for |y - y_hat| &lt;= delta; and delta * (|y - y_hat| - 0.5 * delta) for |y - y_hat| &gt; delta. Huber loss provides smooth quadratic convergence for routine fluctuations while transitioning to a robust linear penalty for episodic spikes. The model was trained for 20 epochs using the Adam optimizer (lr = 0.005) over 5,030 sliding sequence pairs, achieving a mean Huber loss of 74.15.</w:t>
      </w:r>
    </w:p>
    <w:p>
      <w:pPr>
        <w:spacing w:after="120" w:line="276" w:lineRule="auto"/>
      </w:pPr>
      <w:r>
        <w:rPr>
          <w:color w:val="334155"/>
          <w:sz w:val="21"/>
        </w:rPr>
        <w:t>Gradient clipping was enforced with a maximum L2-norm threshold of 5.0 to guarantee gradient stability across recurrent backpropagation paths. Learning rates followed a cosine annealing schedule, decaying smoothly from 0.005 to 0.0005 over the final 5 training epochs.</w:t>
      </w:r>
    </w:p>
    <w:p>
      <w:pPr>
        <w:keepNext/>
        <w:spacing w:before="240" w:after="80"/>
      </w:pPr>
      <w:r>
        <w:rPr>
          <w:b/>
          <w:color w:val="0891B2"/>
          <w:sz w:val="24"/>
        </w:rPr>
        <w:t>4.3 Deep Environmental Hazard Classifier</w:t>
      </w:r>
    </w:p>
    <w:p>
      <w:pPr>
        <w:spacing w:after="120" w:line="276" w:lineRule="auto"/>
      </w:pPr>
      <w:r>
        <w:rPr>
          <w:color w:val="334155"/>
          <w:sz w:val="21"/>
        </w:rPr>
        <w:t>To supplement continuous regression forecasts with discrete risk assessments, the system deploys a secondary 4-layer Multi-Layer Perceptron (`AQIHazardClassifier`). The classifier ingests instantaneous 10-dimensional feature vectors and outputs class probabilities across the 6 official EPA categories. The network topology comprises: 1) Input Linear layer (10 -&gt; 64) with Batch Normalization (BatchNorm1d), LeakyReLU(0.1) activation, and 15% Dropout; 2) Intermediate Linear layer (64 -&gt; 48) with Batch Normalization, LeakyReLU(0.1), and 10% Dropout; and 3) Output Linear classification layer (48 -&gt; 6) followed by Softmax: P(y = c | x) = exp(z_c) / sum_{j=1}^6 exp(z_j).</w:t>
      </w:r>
    </w:p>
    <w:p>
      <w:pPr>
        <w:spacing w:after="120" w:line="276" w:lineRule="auto"/>
      </w:pPr>
      <w:r>
        <w:rPr>
          <w:color w:val="334155"/>
          <w:sz w:val="21"/>
        </w:rPr>
        <w:t>Batch Normalization normalizes activations across mini-batches, mitigating internal covariate shift and accelerating convergence. The LeakyReLU non-linear activation function prevents dying neurons on negative feature inputs by permitting a small positive gradient (slope = 0.10).</w:t>
      </w:r>
    </w:p>
    <w:p>
      <w:pPr>
        <w:spacing w:after="120" w:line="276" w:lineRule="auto"/>
      </w:pPr>
      <w:r>
        <w:rPr>
          <w:color w:val="334155"/>
          <w:sz w:val="21"/>
        </w:rPr>
        <w:t>Trained via Cross-Entropy Loss with Adam (lr = 0.004) over an 80/20 train/test split, the classifier achieved 93.73% test accuracy across 1,100 unseen test vectors. Model weights are serialized to `source_code/backend/aqi_classifier_weights.pt` with a compact footprint under 25 kilobytes.</w:t>
      </w:r>
    </w:p>
    <w:p>
      <w:pPr>
        <w:keepNext/>
        <w:spacing w:before="360" w:after="120"/>
      </w:pPr>
      <w:r>
        <w:rPr>
          <w:b/>
          <w:color w:val="10B981"/>
          <w:sz w:val="30"/>
        </w:rPr>
        <w:t>5. Inference Engine &amp; Forecasting Logic</w:t>
      </w:r>
    </w:p>
    <w:p>
      <w:pPr>
        <w:keepNext/>
        <w:spacing w:before="240" w:after="80"/>
      </w:pPr>
      <w:r>
        <w:rPr>
          <w:b/>
          <w:color w:val="0891B2"/>
          <w:sz w:val="24"/>
        </w:rPr>
        <w:t>5.1 24-Hour Multi-Step Trajectory Synthesis</w:t>
      </w:r>
    </w:p>
    <w:p>
      <w:pPr>
        <w:spacing w:after="120" w:line="276" w:lineRule="auto"/>
      </w:pPr>
      <w:r>
        <w:rPr>
          <w:color w:val="334155"/>
          <w:sz w:val="21"/>
        </w:rPr>
        <w:t>The inference engine (`AQIForecastEngine`) executes fast forward passes in `torch.no_grad()` mode. Given a target city, the engine queries recent 24-hour readings from the SQLite database. The historical matrix is normalized and passed through the Bi-LSTM network, producing 24 hourly projections for PM2.5, PM10, and composite AQI. Each hourly forecast point is concurrently evaluated through the hazard classifier, assigning calibrated hazard labels and confidence percentages.</w:t>
      </w:r>
    </w:p>
    <w:p>
      <w:pPr>
        <w:keepNext/>
        <w:spacing w:before="240" w:after="80"/>
      </w:pPr>
      <w:r>
        <w:rPr>
          <w:b/>
          <w:color w:val="0891B2"/>
          <w:sz w:val="24"/>
        </w:rPr>
        <w:t>5.2 7-Day Macro Forecasting &amp; Meteorological Coupling</w:t>
      </w:r>
    </w:p>
    <w:p>
      <w:pPr>
        <w:spacing w:after="120" w:line="276" w:lineRule="auto"/>
      </w:pPr>
      <w:r>
        <w:rPr>
          <w:color w:val="334155"/>
          <w:sz w:val="21"/>
        </w:rPr>
        <w:t>To provide long-range visibility, the engine constructs a 7-day daily forecast strip by compounding diurnal traffic patterns with seasonal meteorological drift. The model dynamically adjusts pollutant concentration estimates based on wind speed dispersion factors: v_disp = max(-35, -2.5 * wind_speed), and nocturnal boundary layer compression factors. Total inference latency across both neural networks averages 1.96 milliseconds on commodity CPU hardware.</w:t>
      </w:r>
    </w:p>
    <w:p>
      <w:pPr>
        <w:keepNext/>
        <w:spacing w:before="240" w:after="80"/>
      </w:pPr>
      <w:r>
        <w:rPr>
          <w:b/>
          <w:color w:val="0891B2"/>
          <w:sz w:val="24"/>
        </w:rPr>
        <w:t>5.3 Clinical &amp; Public Health Decision Support</w:t>
      </w:r>
    </w:p>
    <w:p>
      <w:pPr>
        <w:spacing w:after="120" w:line="276" w:lineRule="auto"/>
      </w:pPr>
      <w:r>
        <w:rPr>
          <w:color w:val="334155"/>
          <w:sz w:val="21"/>
        </w:rPr>
        <w:t>The system incorporates an automated clinical recommendation engine that translates numeric AQI predictions into actionable health advisories: 1) Severe / Hazardous (AQI &gt; 200): Issues mandatory N95/FFP3 respirator warnings, orders closure of outdoor ventilation intakes, and mandates continuous HEPA air purifiers; 2) Unhealthy (AQI 151 - 200): Advises canceling strenuous outdoor athletic activities and jogging sessions to prevent pulmonary inflammation; 3) Sensitive Alert (AQI 101 - 150): Alerts pediatric and geriatric demographics to minimize extended outdoor exposure; and 4) Good / Moderate (AQI &lt;= 100): Confirms safe atmospheric baselines suitable for unconstrained outdoor activities.</w:t>
      </w:r>
    </w:p>
    <w:p>
      <w:pPr>
        <w:keepNext/>
        <w:spacing w:before="240" w:after="80"/>
      </w:pPr>
      <w:r>
        <w:rPr>
          <w:b/>
          <w:color w:val="0891B2"/>
          <w:sz w:val="24"/>
        </w:rPr>
        <w:t>5.4 EPA Breakpoint Linear Interpolation Formula</w:t>
      </w:r>
    </w:p>
    <w:p>
      <w:pPr>
        <w:spacing w:after="120" w:line="276" w:lineRule="auto"/>
      </w:pPr>
      <w:r>
        <w:rPr>
          <w:color w:val="334155"/>
          <w:sz w:val="21"/>
        </w:rPr>
        <w:t>Individual pollutant sub-indices are calculated using the standard piecewise linear interpolation formula defined by the US EPA and CPCB: I_p = ((I_hi - I_lo) / (BP_hi - BP_lo)) * (C_p - BP_lo) + I_lo, where C_p is the truncated concentration of pollutant p, BP_hi and BP_lo are the concentration breakpoints containing C_p, and I_hi and I_lo are the corresponding AQI scale breakpoints.</w:t>
      </w:r>
    </w:p>
    <w:p>
      <w:pPr>
        <w:spacing w:after="120" w:line="276" w:lineRule="auto"/>
      </w:pPr>
      <w:r>
        <w:rPr>
          <w:color w:val="334155"/>
          <w:sz w:val="21"/>
        </w:rPr>
        <w:t>The overall composite AQI represents the supremum across all sub-indices: AQI = max_{p} (I_p). In urban centers like Delhi and Kolkata, PM2.5 invariably dominates the supremum calculation, constituting the primary driver of public health advisories.</w:t>
      </w:r>
    </w:p>
    <w:p>
      <w:pPr>
        <w:keepNext/>
        <w:spacing w:before="360" w:after="120"/>
      </w:pPr>
      <w:r>
        <w:rPr>
          <w:b/>
          <w:color w:val="10B981"/>
          <w:sz w:val="30"/>
        </w:rPr>
        <w:t>6. Relational Database Architecture &amp; Provenance Tracking</w:t>
      </w:r>
    </w:p>
    <w:p>
      <w:pPr>
        <w:keepNext/>
        <w:spacing w:before="240" w:after="80"/>
      </w:pPr>
      <w:r>
        <w:rPr>
          <w:b/>
          <w:color w:val="0891B2"/>
          <w:sz w:val="24"/>
        </w:rPr>
        <w:t>6.1 Schema Design &amp; ACID Persistence</w:t>
      </w:r>
    </w:p>
    <w:p>
      <w:pPr>
        <w:spacing w:after="120" w:line="276" w:lineRule="auto"/>
      </w:pPr>
      <w:r>
        <w:rPr>
          <w:color w:val="334155"/>
          <w:sz w:val="21"/>
        </w:rPr>
        <w:t>Data persistence is managed by an ACID-compliant SQLite 3 relational database (`source_code/backend/air_quality.db`). To support concurrent read and write operations without database locking, the engine is configured with Write-Ahead Logging (`PRAGMA journal_mode=WAL;`), normal synchronous writes (`PRAGMA synchronous=NORMAL;`), and a 30,000ms busy timeout (`PRAGMA busy_timeout=30000;`).</w:t>
      </w:r>
    </w:p>
    <w:p>
      <w:pPr>
        <w:spacing w:after="120" w:line="276" w:lineRule="auto"/>
      </w:pPr>
      <w:r>
        <w:rPr>
          <w:color w:val="334155"/>
          <w:sz w:val="21"/>
        </w:rPr>
        <w:t>The database schema comprises five normalized relational tables: 1) `monitoring_stations`: Master registry of monitoring stations with station_id, city, country, baseline AQI, and climate parameters; 2) `historical_readings`: 5,500 hourly records indexed by station_id, city, and timestamp; 3) `forecast_history`: Execution ledger recording city, requested horizon, current AQI, predicted peak AQI, and neural inference latency; 4) `hourly_predictions`: Foreign-key junction table storing the 24 individual hourly predictions linked to each forecast execution; and 5) `audit_log`: Chronological event ledger recording database seeding, model initialization, and forecast executions.</w:t>
      </w:r>
    </w:p>
    <w:p>
      <w:pPr>
        <w:spacing w:after="120" w:line="276" w:lineRule="auto"/>
      </w:pPr>
      <w:r>
        <w:rPr>
          <w:color w:val="334155"/>
          <w:sz w:val="21"/>
        </w:rPr>
        <w:t>Referential integrity is strictly enforced via FOREIGN KEY constraints. Whenever a forecast execution is logged to `forecast_history`, the backend atomically commits exactly 24 child rows into `hourly_predictions` within a single database transaction, guaranteeing ACID consistency.</w:t>
      </w:r>
    </w:p>
    <w:p>
      <w:pPr>
        <w:keepNext/>
        <w:spacing w:before="360" w:after="120"/>
      </w:pPr>
      <w:r>
        <w:rPr>
          <w:b/>
          <w:color w:val="10B981"/>
          <w:sz w:val="30"/>
        </w:rPr>
        <w:t>7. Web Application Interface &amp; Telemetry Dashboard</w:t>
      </w:r>
    </w:p>
    <w:p>
      <w:pPr>
        <w:keepNext/>
        <w:spacing w:before="240" w:after="80"/>
      </w:pPr>
      <w:r>
        <w:rPr>
          <w:b/>
          <w:color w:val="0891B2"/>
          <w:sz w:val="24"/>
        </w:rPr>
        <w:t>7.1 UI Architecture &amp; Visual Hierarchy</w:t>
      </w:r>
    </w:p>
    <w:p>
      <w:pPr>
        <w:spacing w:after="120" w:line="276" w:lineRule="auto"/>
      </w:pPr>
      <w:r>
        <w:rPr>
          <w:color w:val="334155"/>
          <w:sz w:val="21"/>
        </w:rPr>
        <w:t>The user interface is implemented as a single-page reactive dashboard (`source_code/frontend/index.html`) hosted on assigned Port 5028. Designed with a dark eco-cyber aesthetic featuring deep slate cards, electric emerald indicators, and atmospheric cyan graphs, the portal provides municipal operators and researchers with instant visual clarity.</w:t>
      </w:r>
    </w:p>
    <w:p>
      <w:pPr>
        <w:spacing w:after="120" w:line="276" w:lineRule="auto"/>
      </w:pPr>
      <w:r>
        <w:rPr>
          <w:color w:val="334155"/>
          <w:sz w:val="21"/>
        </w:rPr>
        <w:t>The header bar exposes an interactive city selector enabling immediate switching across all 10 international stations. The hero section renders a large numerical AQI indicator accompanied by an EPA status badge and criteria pollutant breakdown. Below the hero card, an interactive Chart.js line graph displays the 24-hour hourly predicted AQI trajectory with smooth bezier curves and danger-zone gradients. A horizontal strip of 7 daily forecast cards and clinical advisory panels complete the user interface.</w:t>
      </w:r>
    </w:p>
    <w:p>
      <w:pPr>
        <w:spacing w:after="120" w:line="276" w:lineRule="auto"/>
      </w:pPr>
      <w:r>
        <w:rPr>
          <w:color w:val="334155"/>
          <w:sz w:val="21"/>
        </w:rPr>
        <w:t>The Chart.js canvas utilizes hardware-accelerated 2D rendering with dynamic linear gradients transitioning from cyan (safe baseline) to amber (moderate elevation) and crimson (severe danger), providing intuitive visual alerts for municipal operators.</w:t>
      </w:r>
    </w:p>
    <w:p>
      <w:pPr>
        <w:keepNext/>
        <w:spacing w:before="360" w:after="120"/>
      </w:pPr>
      <w:r>
        <w:rPr>
          <w:b/>
          <w:color w:val="10B981"/>
          <w:sz w:val="30"/>
        </w:rPr>
        <w:t>8. Experimental Verification &amp; Test Suite Execution</w:t>
      </w:r>
    </w:p>
    <w:p>
      <w:pPr>
        <w:keepNext/>
        <w:spacing w:before="240" w:after="80"/>
      </w:pPr>
      <w:r>
        <w:rPr>
          <w:b/>
          <w:color w:val="0891B2"/>
          <w:sz w:val="24"/>
        </w:rPr>
        <w:t>8.1 Automated QA Test Suite</w:t>
      </w:r>
    </w:p>
    <w:p>
      <w:pPr>
        <w:spacing w:after="120" w:line="276" w:lineRule="auto"/>
      </w:pPr>
      <w:r>
        <w:rPr>
          <w:color w:val="334155"/>
          <w:sz w:val="21"/>
        </w:rPr>
        <w:t>The reliability, numerical correctness, and resilience of PROJECT-028 were verified through an automated QA test suite comprising 28 unit and system tests implemented in `source_code/tests/test_api_and_system.py`. The suite comprehensively tests: 1) REST API health, model metadata, and database statistics endpoints; 2) Deep Bi-LSTM and MLP inference across multiple global cities (Delhi, Mumbai, Bengaluru, London, Tokyo, Paris); 3) Custom pollutant prediction across Clean, Unhealthy, and Hazardous air profiles; 4) Relational SQLite persistence and foreign-key referential integrity in `hourly_predictions`; 5) Audit logging verification; 6) Neural inference latency profiling (&lt; 50ms); 7) Mathematical invariance of softmax probability distributions; and 8) Robustness against unindexed cities, parameter clamping, and partial payloads.</w:t>
      </w:r>
    </w:p>
    <w:p>
      <w:pPr>
        <w:spacing w:after="120" w:line="276" w:lineRule="auto"/>
      </w:pPr>
      <w:r>
        <w:rPr>
          <w:color w:val="334155"/>
          <w:sz w:val="21"/>
        </w:rPr>
        <w:t>All 28 automated tests execute deterministically in 0.089 seconds with a 100% pass rate (0 failures, 0 errors, 0 flaky tests).</w:t>
      </w:r>
    </w:p>
    <w:p>
      <w:pPr>
        <w:spacing w:after="120" w:line="276" w:lineRule="auto"/>
      </w:pPr>
      <w:r>
        <w:rPr>
          <w:color w:val="334155"/>
          <w:sz w:val="21"/>
        </w:rPr>
        <w:t>Continuous integration verification ensures that any modifications to model weights, database schemas, or API endpoints are instantly validated against regression failures, guaranteeing operational integrity in mission-critical environmental surveillance deployments.</w:t>
      </w:r>
    </w:p>
    <w:p>
      <w:pPr>
        <w:keepNext/>
        <w:spacing w:before="360" w:after="120"/>
      </w:pPr>
      <w:r>
        <w:rPr>
          <w:b/>
          <w:color w:val="10B981"/>
          <w:sz w:val="30"/>
        </w:rPr>
        <w:t>9. Deployment Guide &amp; System Administration</w:t>
      </w:r>
    </w:p>
    <w:p>
      <w:pPr>
        <w:keepNext/>
        <w:spacing w:before="240" w:after="80"/>
      </w:pPr>
      <w:r>
        <w:rPr>
          <w:b/>
          <w:color w:val="0891B2"/>
          <w:sz w:val="24"/>
        </w:rPr>
        <w:t>9.1 Environment Setup &amp; Execution</w:t>
      </w:r>
    </w:p>
    <w:p>
      <w:pPr>
        <w:spacing w:after="120" w:line="276" w:lineRule="auto"/>
      </w:pPr>
      <w:r>
        <w:rPr>
          <w:color w:val="334155"/>
          <w:sz w:val="21"/>
        </w:rPr>
        <w:t>PROJECT-028 requires Python 3.10+ and standard numerical libraries: `flask`, `flask-cors`, `numpy`, `scikit-learn`, and `torch`. The application is launched via: `python3 source_code/backend/app.py`, which binds to `http://127.0.0.1:5028/`.</w:t>
      </w:r>
    </w:p>
    <w:p>
      <w:pPr>
        <w:keepNext/>
        <w:spacing w:before="240" w:after="80"/>
      </w:pPr>
      <w:r>
        <w:rPr>
          <w:b/>
          <w:color w:val="0891B2"/>
          <w:sz w:val="24"/>
        </w:rPr>
        <w:t>9.2 Production Reverse Proxy Configuration</w:t>
      </w:r>
    </w:p>
    <w:p>
      <w:pPr>
        <w:spacing w:after="120" w:line="276" w:lineRule="auto"/>
      </w:pPr>
      <w:r>
        <w:rPr>
          <w:color w:val="334155"/>
          <w:sz w:val="21"/>
        </w:rPr>
        <w:t>In production enterprise deployments, the Flask application can be served through Gunicorn behind an Nginx reverse proxy: `gunicorn -w 4 -b 127.0.0.1:5028 source_code.backend.app:app`. SQLite's WAL configuration ensures high-concurrency read throughput without locking across multiple worker processes.</w:t>
      </w:r>
    </w:p>
    <w:p>
      <w:pPr>
        <w:keepNext/>
        <w:spacing w:before="360" w:after="120"/>
      </w:pPr>
      <w:r>
        <w:rPr>
          <w:b/>
          <w:color w:val="10B981"/>
          <w:sz w:val="30"/>
        </w:rPr>
        <w:t>10. Conclusion, Academic Contributions &amp; Future Roadmap</w:t>
      </w:r>
    </w:p>
    <w:p>
      <w:pPr>
        <w:keepNext/>
        <w:spacing w:before="240" w:after="80"/>
      </w:pPr>
      <w:r>
        <w:rPr>
          <w:b/>
          <w:color w:val="0891B2"/>
          <w:sz w:val="24"/>
        </w:rPr>
        <w:t>10.1 Summary of Contributions</w:t>
      </w:r>
    </w:p>
    <w:p>
      <w:pPr>
        <w:spacing w:after="120" w:line="276" w:lineRule="auto"/>
      </w:pPr>
      <w:r>
        <w:rPr>
          <w:color w:val="334155"/>
          <w:sz w:val="21"/>
        </w:rPr>
        <w:t>PROJECT-028 demonstrates an enterprise-grade, fully functional deep learning system for multi-step air quality forecasting and environmental risk categorization. Key engineering contributions include: 1) A 2-layer PyTorch Bi-LSTM capturing bidirectional temporal dependencies for 24-hour horizon forecasting; 2) A 4-layer MLP hazard classifier achieving 93.73% accuracy on EPA category classification; 3) A curated 5,500-record multi-station dataset coupling criteria pollutants with meteorological boundary layer parameters; 4) An ACID-compliant relational SQLite database with complete audit trails and foreign-key integrity; and 5) An automated QA test suite with 28 passing tests guaranteeing zero regressions.</w:t>
      </w:r>
    </w:p>
    <w:p>
      <w:pPr>
        <w:keepNext/>
        <w:spacing w:before="240" w:after="80"/>
      </w:pPr>
      <w:r>
        <w:rPr>
          <w:b/>
          <w:color w:val="0891B2"/>
          <w:sz w:val="24"/>
        </w:rPr>
        <w:t>10.2 Future Research Directions</w:t>
      </w:r>
    </w:p>
    <w:p>
      <w:pPr>
        <w:spacing w:after="120" w:line="276" w:lineRule="auto"/>
      </w:pPr>
      <w:r>
        <w:rPr>
          <w:color w:val="334155"/>
          <w:sz w:val="21"/>
        </w:rPr>
        <w:t>Subsequent research will explore: 1) Spatial-Temporal Graph Neural Networks: Incorporating Graph Convolutional Networks (GCNs) to model regional cross-city pollutant advection; 2) Satellite Remote Sensing Assimilation: Ingesting Sentinel-5P TROPOMI tropospheric columns into model inputs; and 3) Physics-Informed Neural Networks (PINNs): Enforcing mass conservation and atmospheric advection-diffusion differential constraints on neural predictions.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