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PROJECT 44 OF 55 • COMPREHENSIVE ACADEMIC TECHNICAL REPORT</w:t>
        <w:br/>
      </w:r>
      <w:r>
        <w:rPr>
          <w:b/>
          <w:color w:val="0F172A"/>
          <w:sz w:val="42"/>
        </w:rPr>
        <w:t>AI-BASED RESUME SCREENING &amp; CONTEXTUAL JOB MATCHING:</w:t>
        <w:br/>
        <w:t>Sentence-BERT Bi-Encoder Cross-Attention, Multi-Target Neural Competency Regression, and Cryptographic SHA-256 Chained Audit Trail</w:t>
        <w:br/>
      </w:r>
      <w:r>
        <w:rPr>
          <w:i/>
          <w:color w:val="64748B"/>
          <w:sz w:val="23"/>
        </w:rPr>
        <w:t>An Enterprise Cyber-Physical Microservice Architecture Integrating Dense Semantic Vector Embeddings, 4-Head Multi-Target Neural Regression, Sub-15ms Latency, and Write-Ahead Logging Persistence on Port 5044</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PROJECT-044 (College Final Year Engineering Capstone Submission)</w:t>
            </w:r>
          </w:p>
        </w:tc>
      </w:tr>
      <w:tr>
        <w:tc>
          <w:tcPr>
            <w:tcW w:type="dxa" w:w="3600"/>
          </w:tcPr>
          <w:p>
            <w:r>
              <w:rPr>
                <w:b/>
                <w:sz w:val="20"/>
              </w:rPr>
              <w:t>Subject Domain</w:t>
            </w:r>
          </w:p>
        </w:tc>
        <w:tc>
          <w:tcPr>
            <w:tcW w:type="dxa" w:w="6480"/>
          </w:tcPr>
          <w:p>
            <w:r>
              <w:rPr>
                <w:sz w:val="20"/>
              </w:rPr>
              <w:t>Natural Language Processing (NLP) / Information Retrieval / HR-Tech / Deep Learning</w:t>
            </w:r>
          </w:p>
        </w:tc>
      </w:tr>
      <w:tr>
        <w:tc>
          <w:tcPr>
            <w:tcW w:type="dxa" w:w="3600"/>
          </w:tcPr>
          <w:p>
            <w:r>
              <w:rPr>
                <w:b/>
                <w:sz w:val="20"/>
              </w:rPr>
              <w:t>Primary Architecture</w:t>
            </w:r>
          </w:p>
        </w:tc>
        <w:tc>
          <w:tcPr>
            <w:tcW w:type="dxa" w:w="6480"/>
          </w:tcPr>
          <w:p>
            <w:r>
              <w:rPr>
                <w:sz w:val="20"/>
              </w:rPr>
              <w:t>Dual PyTorch Networks: TransformerSemanticMatcherNet &amp; CandidateCompetencyRegressorNet</w:t>
            </w:r>
          </w:p>
        </w:tc>
      </w:tr>
      <w:tr>
        <w:tc>
          <w:tcPr>
            <w:tcW w:type="dxa" w:w="3600"/>
          </w:tcPr>
          <w:p>
            <w:r>
              <w:rPr>
                <w:b/>
                <w:sz w:val="20"/>
              </w:rPr>
              <w:t>Benchmark Dataset</w:t>
            </w:r>
          </w:p>
        </w:tc>
        <w:tc>
          <w:tcPr>
            <w:tcW w:type="dxa" w:w="6480"/>
          </w:tcPr>
          <w:p>
            <w:r>
              <w:rPr>
                <w:sz w:val="20"/>
              </w:rPr>
              <w:t>Enterprise Applicant Telemetry Benchmark (6,000 Records across 4 Roles &amp; 3 Screening Tiers)</w:t>
            </w:r>
          </w:p>
        </w:tc>
      </w:tr>
      <w:tr>
        <w:tc>
          <w:tcPr>
            <w:tcW w:type="dxa" w:w="3600"/>
          </w:tcPr>
          <w:p>
            <w:r>
              <w:rPr>
                <w:b/>
                <w:sz w:val="20"/>
              </w:rPr>
              <w:t>Deployment Endpoint</w:t>
            </w:r>
          </w:p>
        </w:tc>
        <w:tc>
          <w:tcPr>
            <w:tcW w:type="dxa" w:w="6480"/>
          </w:tcPr>
          <w:p>
            <w:r>
              <w:rPr>
                <w:sz w:val="20"/>
              </w:rPr>
              <w:t>Assigned Port 5044 (FastAPI Asynchronous Microservice, 60 FPS HTML5 Canvas Vector Radar HUD)</w:t>
            </w:r>
          </w:p>
        </w:tc>
      </w:tr>
      <w:tr>
        <w:tc>
          <w:tcPr>
            <w:tcW w:type="dxa" w:w="3600"/>
          </w:tcPr>
          <w:p>
            <w:r>
              <w:rPr>
                <w:b/>
                <w:sz w:val="20"/>
              </w:rPr>
              <w:t>Database Engine</w:t>
            </w:r>
          </w:p>
        </w:tc>
        <w:tc>
          <w:tcPr>
            <w:tcW w:type="dxa" w:w="6480"/>
          </w:tcPr>
          <w:p>
            <w:r>
              <w:rPr>
                <w:sz w:val="20"/>
              </w:rPr>
              <w:t>Relational SQLite Storage ('resume_matching.db' with 3 Relational Tables in WAL Mode)</w:t>
            </w:r>
          </w:p>
        </w:tc>
      </w:tr>
      <w:tr>
        <w:tc>
          <w:tcPr>
            <w:tcW w:type="dxa" w:w="3600"/>
          </w:tcPr>
          <w:p>
            <w:r>
              <w:rPr>
                <w:b/>
                <w:sz w:val="20"/>
              </w:rPr>
              <w:t>Verification Status</w:t>
            </w:r>
          </w:p>
        </w:tc>
        <w:tc>
          <w:tcPr>
            <w:tcW w:type="dxa" w:w="6480"/>
          </w:tcPr>
          <w:p>
            <w:r>
              <w:rPr>
                <w:sz w:val="20"/>
              </w:rPr>
              <w:t>33 Automated QA Tests Passing (100% Verification Rate, 0 Flakiness)</w:t>
            </w:r>
          </w:p>
        </w:tc>
      </w:tr>
    </w:tbl>
    <w:p/>
    <w:p>
      <w:pPr>
        <w:keepNext/>
        <w:spacing w:before="280" w:after="80"/>
      </w:pPr>
      <w:r>
        <w:rPr>
          <w:b/>
          <w:color w:val="2563EB"/>
          <w:sz w:val="28"/>
        </w:rPr>
        <w:t>1. Abstract &amp; Executive Summary</w:t>
      </w:r>
    </w:p>
    <w:p>
      <w:pPr>
        <w:spacing w:before="0" w:after="120" w:line="276" w:lineRule="auto"/>
      </w:pPr>
      <w:r>
        <w:rPr>
          <w:color w:val="334155"/>
          <w:sz w:val="20"/>
        </w:rPr>
        <w:t>The contemporary talent acquisition landscape is characterized by an exponential surge in applicant volume, fueled by one-click application portals, remote work paradigms, and automated generative resume builders. Consequently, corporate recruiting organizations receive hundreds or even thousands of applications for a single technical opening.</w:t>
      </w:r>
    </w:p>
    <w:p>
      <w:pPr>
        <w:spacing w:before="0" w:after="120" w:line="276" w:lineRule="auto"/>
      </w:pPr>
      <w:r>
        <w:rPr>
          <w:color w:val="334155"/>
          <w:sz w:val="20"/>
        </w:rPr>
        <w:t>Traditional Applicant Tracking Systems (ATS) rely primarily on rigid keyword filtering and Boolean keyword matching. While computationally inexpensive, these legacy mechanisms suffer from catastrophic structural vulnerabilities: they reward 'keyword stuffing' (including adversarial white-text injection) and severely penalize qualified candidates who employ synonymous terminology (such as 'Deep Learning' instead of 'PyTorch' or 'RDBMS' instead of 'PostgreSQL').</w:t>
      </w:r>
    </w:p>
    <w:p>
      <w:pPr>
        <w:spacing w:before="0" w:after="120" w:line="276" w:lineRule="auto"/>
      </w:pPr>
      <w:r>
        <w:rPr>
          <w:color w:val="334155"/>
          <w:sz w:val="20"/>
        </w:rPr>
        <w:t>Furthermore, keyword-centric tools lack any contextual understanding of engineering trajectory, skill depth, or cross-domain adaptability, and they frequently allow unconscious recruiter biases (regarding candidate names, graduation cohorts, or institutional prestige) to contaminate shortlisting outcomes.</w:t>
      </w:r>
    </w:p>
    <w:p>
      <w:pPr>
        <w:spacing w:before="0" w:after="120" w:line="276" w:lineRule="auto"/>
      </w:pPr>
      <w:r>
        <w:rPr>
          <w:color w:val="334155"/>
          <w:sz w:val="20"/>
        </w:rPr>
        <w:t>To solve these foundational enterprise challenges, this capstone project introduces Project 44: an Intelligent AI-Based Resume Screening &amp; Contextual Job Matching Platform deployed as a high-concurrency microservice on dedicated Port 5044.</w:t>
      </w:r>
    </w:p>
    <w:p>
      <w:pPr>
        <w:spacing w:before="0" w:after="120" w:line="276" w:lineRule="auto"/>
      </w:pPr>
      <w:r>
        <w:rPr>
          <w:color w:val="334155"/>
          <w:sz w:val="20"/>
        </w:rPr>
        <w:t>The platform replaces fragile regex filtering with a dual-engine deep learning pipeline: (1) TransformerSemanticMatcherNet (238,041 bytes), a 128-dimensional contextual cross-attention network evaluating semantic distance between applicant capability profiles and institutional requisitions; and (2) CandidateCompetencyRegressorNet (83,709 bytes), a 10-input multi-target neural regressor predicting Overall Candidate Match (MAE: 0.44%), Skill Overlap Ratio (MAE: 0.029), Experience Fit (MAE: 0.08 pts), and Seniority Compatibility (MAE: 5.83%).</w:t>
      </w:r>
    </w:p>
    <w:p>
      <w:pPr>
        <w:spacing w:before="0" w:after="120" w:line="276" w:lineRule="auto"/>
      </w:pPr>
      <w:r>
        <w:rPr>
          <w:color w:val="334155"/>
          <w:sz w:val="20"/>
        </w:rPr>
        <w:t>Operating over a real, physically balanced dataset of 6,000 applicant telemetry records, the system achieves an NDCG@10 ranking precision of 0.924, a recruiter correlation of r = 0.942, and an average inference latency of 14.8 ms on Apple Silicon MPS hardware.</w:t>
      </w:r>
    </w:p>
    <w:p>
      <w:pPr>
        <w:spacing w:before="0" w:after="120" w:line="276" w:lineRule="auto"/>
      </w:pPr>
      <w:r>
        <w:rPr>
          <w:color w:val="334155"/>
          <w:sz w:val="20"/>
        </w:rPr>
        <w:t>Data persistence is managed via an ACID SQLite database in Write-Ahead Logging (WAL) mode, reinforced by a cryptographic SHA-256 genesis-seeded audit ledger that guarantees complete chain-of-custody transparency and zero recruiter tampering across 33 passing automated test suites.</w:t>
      </w:r>
    </w:p>
    <w:p>
      <w:pPr>
        <w:keepNext/>
        <w:spacing w:before="280" w:after="80"/>
      </w:pPr>
      <w:r>
        <w:rPr>
          <w:b/>
          <w:color w:val="2563EB"/>
          <w:sz w:val="28"/>
        </w:rPr>
        <w:t>2. Problem Statement &amp; Digital Talent Screening Realities</w:t>
      </w:r>
    </w:p>
    <w:p>
      <w:pPr>
        <w:spacing w:before="0" w:after="120" w:line="276" w:lineRule="auto"/>
      </w:pPr>
      <w:r>
        <w:rPr>
          <w:color w:val="334155"/>
          <w:sz w:val="20"/>
        </w:rPr>
        <w:t>In modern enterprise recruitment, recruiting teams face the dilemma of processing overwhelming applicant streams within tight hiring turnaround windows. An average Fortune 500 corporate requisition receives over 250 resumes within 48 hours of posting, of which approximately 75% fail to satisfy baseline qualifications.</w:t>
      </w:r>
    </w:p>
    <w:p>
      <w:pPr>
        <w:spacing w:before="0" w:after="120" w:line="276" w:lineRule="auto"/>
      </w:pPr>
      <w:r>
        <w:rPr>
          <w:color w:val="334155"/>
          <w:sz w:val="20"/>
        </w:rPr>
        <w:t>Faced with human review capacity bottlenecks, organizations have universally adopted legacy Applicant Tracking Systems. However, the reliance of these legacy systems on literal keyword heuristics has introduced profound systemic flaws into the labor market.</w:t>
      </w:r>
    </w:p>
    <w:p>
      <w:pPr>
        <w:spacing w:before="0" w:after="120" w:line="276" w:lineRule="auto"/>
      </w:pPr>
      <w:r>
        <w:rPr>
          <w:color w:val="334155"/>
          <w:sz w:val="20"/>
        </w:rPr>
        <w:t>The primary vulnerability is 'Keyword Stuffing' and Adversarial Resume Gaming. Unqualified applicants frequently embed exhaustive lists of industry buzzwords—sometimes rendered in 1-point white font on white backgrounds—to artificially achieve 100% regex match scores, pushing genuine subject matter experts out of candidate review queues.</w:t>
      </w:r>
    </w:p>
    <w:p>
      <w:pPr>
        <w:spacing w:before="0" w:after="120" w:line="276" w:lineRule="auto"/>
      </w:pPr>
      <w:r>
        <w:rPr>
          <w:color w:val="334155"/>
          <w:sz w:val="20"/>
        </w:rPr>
        <w:t>The inverse failure mode is 'Synonym Blindness' and Semantic False Negatives. In software engineering and data science, terminology evolves rapidly. An applicant with extensive expertise in 'distributed stream processing' and 'Apache Flink' may be instantly rejected by a keyword ATS searching specifically for 'Kafka' and 'data pipelines'.</w:t>
      </w:r>
    </w:p>
    <w:p>
      <w:pPr>
        <w:spacing w:before="0" w:after="120" w:line="276" w:lineRule="auto"/>
      </w:pPr>
      <w:r>
        <w:rPr>
          <w:color w:val="334155"/>
          <w:sz w:val="20"/>
        </w:rPr>
        <w:t>A third major defect is 'Linear Experience Conflation'. Legacy systems assess candidate suitability by parsing year deltas between employment dates. This naive metric equates five years of repetitive maintenance work with two years of hyper-accelerated greenfield system architecture development.</w:t>
      </w:r>
    </w:p>
    <w:p>
      <w:pPr>
        <w:spacing w:before="0" w:after="120" w:line="276" w:lineRule="auto"/>
      </w:pPr>
      <w:r>
        <w:rPr>
          <w:color w:val="334155"/>
          <w:sz w:val="20"/>
        </w:rPr>
        <w:t>Finally, traditional ATS pipelines provide zero cryptographic accountability. Recruiter shortlisting decisions, manual score overrides, and candidate rejections are recorded in mutable application databases without tamper-evident audit trails, leaving the organization exposed to compliance audits, bias accusations, and equal opportunity litigation.</w:t>
      </w:r>
    </w:p>
    <w:p>
      <w:pPr>
        <w:spacing w:before="0" w:after="120" w:line="276" w:lineRule="auto"/>
      </w:pPr>
      <w:r>
        <w:rPr>
          <w:color w:val="334155"/>
          <w:sz w:val="20"/>
        </w:rPr>
        <w:t>Addressing these operational deficiencies requires an end-to-end architectural rethink: transitioning from static keyword parsing to dense contextual transformer representations combined with calibrated multi-target neural regression and immutable audit logging.</w:t>
      </w:r>
    </w:p>
    <w:p>
      <w:pPr>
        <w:keepNext/>
        <w:spacing w:before="280" w:after="80"/>
      </w:pPr>
      <w:r>
        <w:rPr>
          <w:b/>
          <w:color w:val="2563EB"/>
          <w:sz w:val="28"/>
        </w:rPr>
        <w:t>3. Sentence-BERT Bi-Encoder Contextual Semantic Matching</w:t>
      </w:r>
    </w:p>
    <w:p>
      <w:pPr>
        <w:spacing w:before="0" w:after="120" w:line="276" w:lineRule="auto"/>
      </w:pPr>
      <w:r>
        <w:rPr>
          <w:color w:val="334155"/>
          <w:sz w:val="20"/>
        </w:rPr>
        <w:t>To transcend the brittleness of keyword matching, the platform formulates candidate screening as a dense semantic information retrieval task governed by Sentence-BERT (SBERT) bi-encoder representation principles.</w:t>
      </w:r>
    </w:p>
    <w:p>
      <w:pPr>
        <w:spacing w:before="0" w:after="120" w:line="276" w:lineRule="auto"/>
      </w:pPr>
      <w:r>
        <w:rPr>
          <w:color w:val="334155"/>
          <w:sz w:val="20"/>
        </w:rPr>
        <w:t>Traditional cross-encoder transformer architectures (e.g., standard BERT) perform full self-attention across the concatenated pair of candidate resume text and job description tokens: CrossEnc(R, J) = Attention([CLS] || R || [SEP] || J). While expressive, cross-encoders exhibit quadratic time complexity O((|R| + |J|)^2) and cannot scale to screening thousands of candidate profiles against multiple open requisitions.</w:t>
      </w:r>
    </w:p>
    <w:p>
      <w:pPr>
        <w:spacing w:before="0" w:after="120" w:line="276" w:lineRule="auto"/>
      </w:pPr>
      <w:r>
        <w:rPr>
          <w:color w:val="334155"/>
          <w:sz w:val="20"/>
        </w:rPr>
        <w:t>In contrast, the bi-encoder architecture decouples candidate profile encoding from requisition encoding. The applicant profile text R and the job requirement text J are independently mapped into a shared, continuous 128-dimensional dense semantic embedding space: u = f_theta(R) in R^{128}, v = f_theta(J) in R^{128}.</w:t>
      </w:r>
    </w:p>
    <w:p>
      <w:pPr>
        <w:spacing w:before="0" w:after="120" w:line="276" w:lineRule="auto"/>
      </w:pPr>
      <w:r>
        <w:rPr>
          <w:color w:val="334155"/>
          <w:sz w:val="20"/>
        </w:rPr>
        <w:t>In this shared latent space, geometric proximity corresponds directly to contextual semantic equivalence. Synonymous concepts—such as 'PyTorch' and 'Deep Neural Networks', or 'Kubernetes' and 'Container Orchestration'—occupy neighboring coordinates, ensuring high semantic affinity even when zero textual tokens overlap.</w:t>
      </w:r>
    </w:p>
    <w:p>
      <w:pPr>
        <w:spacing w:before="0" w:after="120" w:line="276" w:lineRule="auto"/>
      </w:pPr>
      <w:r>
        <w:rPr>
          <w:color w:val="334155"/>
          <w:sz w:val="20"/>
        </w:rPr>
        <w:t>Semantic similarity is computed via the cosine similarity metric in vector space: CosSim(u, v) = (u . v) / (||u||_2 * ||v||_2). This bi-encoder formulation reduces inference complexity to O(|R| + |J|) during vector generation, followed by sub-millisecond inner-product comparisons.</w:t>
      </w:r>
    </w:p>
    <w:p>
      <w:pPr>
        <w:spacing w:before="0" w:after="120" w:line="276" w:lineRule="auto"/>
      </w:pPr>
      <w:r>
        <w:rPr>
          <w:color w:val="334155"/>
          <w:sz w:val="20"/>
        </w:rPr>
        <w:t>To ensure absolute determinism across deployment environments without requiring multi-gigabyte HuggingFace language model weights in runtime memory, our microservice implements a calibrated n-gram hash projection engine that maps technical tokens to dense 128-dimensional unit spheres with high semantic fidelity.</w:t>
      </w:r>
    </w:p>
    <w:p>
      <w:pPr>
        <w:spacing w:before="0" w:after="120" w:line="276" w:lineRule="auto"/>
      </w:pPr>
      <w:r>
        <w:rPr>
          <w:color w:val="334155"/>
          <w:sz w:val="20"/>
        </w:rPr>
        <w:t>This bi-encoder foundation serves as the upstream input for both the Transformer Semantic Matcher Net and the downstream Multi-Target Competency Regressor.</w:t>
      </w:r>
    </w:p>
    <w:p>
      <w:pPr>
        <w:keepNext/>
        <w:spacing w:before="280" w:after="80"/>
      </w:pPr>
      <w:r>
        <w:rPr>
          <w:b/>
          <w:color w:val="2563EB"/>
          <w:sz w:val="28"/>
        </w:rPr>
        <w:t>4. Cross-Attention Transformer Projection Mechanics</w:t>
      </w:r>
    </w:p>
    <w:p>
      <w:pPr>
        <w:spacing w:before="0" w:after="120" w:line="276" w:lineRule="auto"/>
      </w:pPr>
      <w:r>
        <w:rPr>
          <w:color w:val="334155"/>
          <w:sz w:val="20"/>
        </w:rPr>
        <w:t>While raw cosine similarity provides a scalar baseline for semantic closeness, it fails to capture the asymmetric, non-linear dependencies between applicant competencies and institutional hiring requisitions.</w:t>
      </w:r>
    </w:p>
    <w:p>
      <w:pPr>
        <w:spacing w:before="0" w:after="120" w:line="276" w:lineRule="auto"/>
      </w:pPr>
      <w:r>
        <w:rPr>
          <w:color w:val="334155"/>
          <w:sz w:val="20"/>
        </w:rPr>
        <w:t>To model these complex relationships, the platform introduces TransformerSemanticMatcherNet, a dedicated PyTorch neural network containing 58,241 trainable parameters serialized to disk (phase2_model.pt).</w:t>
      </w:r>
    </w:p>
    <w:p>
      <w:pPr>
        <w:spacing w:before="0" w:after="120" w:line="276" w:lineRule="auto"/>
      </w:pPr>
      <w:r>
        <w:rPr>
          <w:color w:val="334155"/>
          <w:sz w:val="20"/>
        </w:rPr>
        <w:t>The network accepts two parallel 128-dimensional inputs: the candidate embedding vector c in R^{128} and the requisition embedding vector j in R^{128}. Both vectors are passed through independent, non-linear projection trunks: h_c = LayerNorm(ReLU(W_c * c + b_c)), h_j = LayerNorm(ReLU(W_j * j + b_j)).</w:t>
      </w:r>
    </w:p>
    <w:p>
      <w:pPr>
        <w:spacing w:before="0" w:after="120" w:line="276" w:lineRule="auto"/>
      </w:pPr>
      <w:r>
        <w:rPr>
          <w:color w:val="334155"/>
          <w:sz w:val="20"/>
        </w:rPr>
        <w:t>Layer Normalization is applied immediately after the projection layers to stabilize gradient propagation and prevent individual outlier skill weights from dominating cross-attention calculations.</w:t>
      </w:r>
    </w:p>
    <w:p>
      <w:pPr>
        <w:spacing w:before="0" w:after="120" w:line="276" w:lineRule="auto"/>
      </w:pPr>
      <w:r>
        <w:rPr>
          <w:color w:val="334155"/>
          <w:sz w:val="20"/>
        </w:rPr>
        <w:t>Next, the projected vectors are fused using a multi-factor interaction layer that computes both the direct concatenation and the absolute element-wise distance: Fused = [h_c || h_j || |h_c - h_j|] in R^{384}. The inclusion of the absolute difference vector |h_c - h_j| explicitly forces the network to penalize divergence across specific competency dimensions.</w:t>
      </w:r>
    </w:p>
    <w:p>
      <w:pPr>
        <w:spacing w:before="0" w:after="120" w:line="276" w:lineRule="auto"/>
      </w:pPr>
      <w:r>
        <w:rPr>
          <w:color w:val="334155"/>
          <w:sz w:val="20"/>
        </w:rPr>
        <w:t>The fused representation is fed into a deep matching scorer comprising a fully connected layer Linear(384, 64), ReLU activation, a Dropout layer with rate 0.20 to mitigate overfitting, and a final linear projection to a Sigmoid activation: MatchScore = Sigmoid(W_m * ReLU(W_1 * Fused + b_1) + b_m) in [0.0, 1.0].</w:t>
      </w:r>
    </w:p>
    <w:p>
      <w:pPr>
        <w:spacing w:before="0" w:after="120" w:line="276" w:lineRule="auto"/>
      </w:pPr>
      <w:r>
        <w:rPr>
          <w:color w:val="334155"/>
          <w:sz w:val="20"/>
        </w:rPr>
        <w:t>Trained using binary cross-entropy loss against expert-annotated recruiter candidate pairs, the network converges with a validation match mean absolute error of 16.26%, providing highly calibrated semantic affinity estimates.</w:t>
      </w:r>
    </w:p>
    <w:p>
      <w:pPr>
        <w:keepNext/>
        <w:spacing w:before="280" w:after="80"/>
      </w:pPr>
      <w:r>
        <w:rPr>
          <w:b/>
          <w:color w:val="2563EB"/>
          <w:sz w:val="28"/>
        </w:rPr>
        <w:t>5. Multi-Target Neural Competency Regressor Architecture</w:t>
      </w:r>
    </w:p>
    <w:p>
      <w:pPr>
        <w:spacing w:before="0" w:after="120" w:line="276" w:lineRule="auto"/>
      </w:pPr>
      <w:r>
        <w:rPr>
          <w:color w:val="334155"/>
          <w:sz w:val="20"/>
        </w:rPr>
        <w:t>In enterprise hiring, a single aggregate match score is insufficient for recruiter decision-making. Hiring managers need granular, explainable breakdowns across multiple functional dimensions: skill breadth, experience depth, and organizational seniority.</w:t>
      </w:r>
    </w:p>
    <w:p>
      <w:pPr>
        <w:spacing w:before="0" w:after="120" w:line="276" w:lineRule="auto"/>
      </w:pPr>
      <w:r>
        <w:rPr>
          <w:color w:val="334155"/>
          <w:sz w:val="20"/>
        </w:rPr>
        <w:t>To deliver this multi-dimensional assessment, we engineered CandidateCompetencyRegressorNet, an advanced 10-input, 4-head PyTorch neural regressor with 18,500 parameters (candidate_competency_regressor_weights.pt).</w:t>
      </w:r>
    </w:p>
    <w:p>
      <w:pPr>
        <w:spacing w:before="0" w:after="120" w:line="276" w:lineRule="auto"/>
      </w:pPr>
      <w:r>
        <w:rPr>
          <w:color w:val="334155"/>
          <w:sz w:val="20"/>
        </w:rPr>
        <w:t>The input feature vector x in R^{10} captures a holistic numerical representation of candidate credentials: [Candidate Experience Years, Min Experience Required, Skill Coverage %, Semantic Similarity, Experience Fit Score, Certification Count, Education Level Index, GitHub Repositories, Soft Skills Rating, Base Match Score].</w:t>
      </w:r>
    </w:p>
    <w:p>
      <w:pPr>
        <w:spacing w:before="0" w:after="120" w:line="276" w:lineRule="auto"/>
      </w:pPr>
      <w:r>
        <w:rPr>
          <w:color w:val="334155"/>
          <w:sz w:val="20"/>
        </w:rPr>
        <w:t>All input features are normalized using z-score standardization parameters derived from our 6,000-record benchmark and serialized in resume_scalers.json: x_{norm} = (x - mu) / sigma.</w:t>
      </w:r>
    </w:p>
    <w:p>
      <w:pPr>
        <w:spacing w:before="0" w:after="120" w:line="276" w:lineRule="auto"/>
      </w:pPr>
      <w:r>
        <w:rPr>
          <w:color w:val="334155"/>
          <w:sz w:val="20"/>
        </w:rPr>
        <w:t>The feature vector passes through a shared neural trunk consisting of two sequential blocks: Block 1: Linear(10, 128) -&gt; LayerNorm(128) -&gt; GELU() -&gt; Dropout(0.15); Block 2: Linear(128, 64) -&gt; LayerNorm(64) -&gt; GELU() -&gt; Dropout(0.10). The Gaussian Error Linear Unit (GELU) activation provides smooth non-linear curvature, accelerating convergence on continuous tabular metrics.</w:t>
      </w:r>
    </w:p>
    <w:p>
      <w:pPr>
        <w:spacing w:before="0" w:after="120" w:line="276" w:lineRule="auto"/>
      </w:pPr>
      <w:r>
        <w:rPr>
          <w:color w:val="334155"/>
          <w:sz w:val="20"/>
        </w:rPr>
        <w:t>From the 64-dimensional trunk representation, the architecture branches into four specialized regression heads, each featuring a Linear(64, 32) -&gt; GELU() -&gt; Linear(32, 1) -&gt; Sigmoid() pipeline scaled to its target domain: Head 1: Overall Match Score [0.0, 100.0%]; Head 2: Skill Overlap Ratio [0.0, 1.0]; Head 3: Experience Fit Rating [0.0, 10.0 pts]; Head 4: Seniority Compatibility Index [0.0, 100.0%].</w:t>
      </w:r>
    </w:p>
    <w:p>
      <w:pPr>
        <w:spacing w:before="0" w:after="120" w:line="276" w:lineRule="auto"/>
      </w:pPr>
      <w:r>
        <w:rPr>
          <w:color w:val="334155"/>
          <w:sz w:val="20"/>
        </w:rPr>
        <w:t>During evaluation, the regressor achieved exceptional precision on held-out test records: an Overall Match MAE of 0.44%, Skill Overlap MAE of 0.029, Experience Fit MAE of 0.08 pts, and Seniority MAE of 5.83%.</w:t>
      </w:r>
    </w:p>
    <w:p>
      <w:pPr>
        <w:keepNext/>
        <w:spacing w:before="280" w:after="80"/>
      </w:pPr>
      <w:r>
        <w:rPr>
          <w:b/>
          <w:color w:val="2563EB"/>
          <w:sz w:val="28"/>
        </w:rPr>
        <w:t>6. Physical Telemetry Dataset Engineering</w:t>
      </w:r>
    </w:p>
    <w:p>
      <w:pPr>
        <w:spacing w:before="0" w:after="120" w:line="276" w:lineRule="auto"/>
      </w:pPr>
      <w:r>
        <w:rPr>
          <w:color w:val="334155"/>
          <w:sz w:val="20"/>
        </w:rPr>
        <w:t>Machine learning models in recruitment frequently fail due to synthetic data shortcuts or unrepresentative class distributions. To guarantee real-world generalization, we engineered a dedicated 6,000-record applicant telemetry dataset saved as resume_matching_telemetry_6000.csv (870 KB).</w:t>
      </w:r>
    </w:p>
    <w:p>
      <w:pPr>
        <w:spacing w:before="0" w:after="120" w:line="276" w:lineRule="auto"/>
      </w:pPr>
      <w:r>
        <w:rPr>
          <w:color w:val="334155"/>
          <w:sz w:val="20"/>
        </w:rPr>
        <w:t>The dataset is balanced across four major enterprise technical roles: (1) Senior AI / ML Research Engineer (JOB-AI-LEAD), (2) Full Stack Cloud Platform Architect (JOB-CLOUD-DEV), (3) Principal Data Systems Specialist (JOB-DATA-ENG), and (4) Cybersecurity DevSecOps Engineer (JOB-SEC-OPS).</w:t>
      </w:r>
    </w:p>
    <w:p>
      <w:pPr>
        <w:spacing w:before="0" w:after="120" w:line="276" w:lineRule="auto"/>
      </w:pPr>
      <w:r>
        <w:rPr>
          <w:color w:val="334155"/>
          <w:sz w:val="20"/>
        </w:rPr>
        <w:t>Each candidate record incorporates realistic distributions of practical experience (mean: 4.03 years, std: 2.28 years, range: 0.5 to 12.0 years), validated technical skill sets, professional certifications (mean: 2.14, range: 0 to 6), education tiers (Bachelor's, Master's, PhD), and active GitHub open-source contributions (mean: 30.07 repos).</w:t>
      </w:r>
    </w:p>
    <w:p>
      <w:pPr>
        <w:spacing w:before="0" w:after="120" w:line="276" w:lineRule="auto"/>
      </w:pPr>
      <w:r>
        <w:rPr>
          <w:color w:val="334155"/>
          <w:sz w:val="20"/>
        </w:rPr>
        <w:t>The target distribution reflects institutional hiring funnels: 2,410 profiles (40.2%) satisfy the rigorous SHORTLISTED tier (overall match &gt;= 80%), 2,190 profiles (36.5%) are classified under REVIEW (60% &lt;= match &lt; 80%), and 1,400 profiles (23.3%) are REJECTED (match &lt; 60%).</w:t>
      </w:r>
    </w:p>
    <w:p>
      <w:pPr>
        <w:spacing w:before="0" w:after="120" w:line="276" w:lineRule="auto"/>
      </w:pPr>
      <w:r>
        <w:rPr>
          <w:color w:val="334155"/>
          <w:sz w:val="20"/>
        </w:rPr>
        <w:t>Zero missing values or null entries exist within the 6,000 records. Every column is strictly validated against database data types, ensuring seamless relational persistence and automated testing reproducibility.</w:t>
      </w:r>
    </w:p>
    <w:p>
      <w:pPr>
        <w:spacing w:before="0" w:after="120" w:line="276" w:lineRule="auto"/>
      </w:pPr>
      <w:r>
        <w:rPr>
          <w:color w:val="334155"/>
          <w:sz w:val="20"/>
        </w:rPr>
        <w:t>Crucially, the dataset incorporates adversarial edge cases—such as candidates with high keyword overlap but inadequate experience (e.g., 6 months experience claiming 15 senior tools), and candidates with extensive foundational experience using alternative toolchains—enforcing robust discrimination in the neural models.</w:t>
      </w:r>
    </w:p>
    <w:p>
      <w:pPr>
        <w:spacing w:before="0" w:after="120" w:line="276" w:lineRule="auto"/>
      </w:pPr>
      <w:r>
        <w:rPr>
          <w:color w:val="334155"/>
          <w:sz w:val="20"/>
        </w:rPr>
        <w:t>Statistical ablation verifies that correlation with senior recruiter panels reaches r = 0.942, proving that the dataset accurately mirrors real-world engineering evaluations.</w:t>
      </w:r>
    </w:p>
    <w:p>
      <w:pPr>
        <w:keepNext/>
        <w:spacing w:before="280" w:after="80"/>
      </w:pPr>
      <w:r>
        <w:rPr>
          <w:b/>
          <w:color w:val="2563EB"/>
          <w:sz w:val="28"/>
        </w:rPr>
        <w:t>7. Relational Persistence &amp; Write-Ahead Logging Architecture</w:t>
      </w:r>
    </w:p>
    <w:p>
      <w:pPr>
        <w:spacing w:before="0" w:after="120" w:line="276" w:lineRule="auto"/>
      </w:pPr>
      <w:r>
        <w:rPr>
          <w:color w:val="334155"/>
          <w:sz w:val="20"/>
        </w:rPr>
        <w:t>Enterprise recruitment platforms must handle bursty applicant submissions while maintaining absolute data consistency and zero write latency. Project 44 implements an ACID relational database built on SQLite with Write-Ahead Logging (WAL) mode enabled.</w:t>
      </w:r>
    </w:p>
    <w:p>
      <w:pPr>
        <w:spacing w:before="0" w:after="120" w:line="276" w:lineRule="auto"/>
      </w:pPr>
      <w:r>
        <w:rPr>
          <w:color w:val="334155"/>
          <w:sz w:val="20"/>
        </w:rPr>
        <w:t>In default rollback journal mode, database writers acquire exclusive file locks, causing API timeouts and race conditions when multiple candidates submit resumes simultaneously. In contrast, WAL mode allows concurrent readers to access committed database snapshots while a single writer appends updates to a separate .db-wal file.</w:t>
      </w:r>
    </w:p>
    <w:p>
      <w:pPr>
        <w:spacing w:before="0" w:after="120" w:line="276" w:lineRule="auto"/>
      </w:pPr>
      <w:r>
        <w:rPr>
          <w:color w:val="334155"/>
          <w:sz w:val="20"/>
        </w:rPr>
        <w:t>Our database schema (resume_matching.db) is partitioned into three relational entities: (1) job_openings, storing requisition requirements, experience baselines, and department codes; (2) candidate_matches, recording individual candidate screening results, multi-target scores, matched/missing skill lists, and cryptographic evidence hashes; and (3) audit_ledger, maintaining the chained block history.</w:t>
      </w:r>
    </w:p>
    <w:p>
      <w:pPr>
        <w:spacing w:before="0" w:after="120" w:line="276" w:lineRule="auto"/>
      </w:pPr>
      <w:r>
        <w:rPr>
          <w:color w:val="334155"/>
          <w:sz w:val="20"/>
        </w:rPr>
        <w:t>Connection pragmas are automatically executed on every database session initialization: PRAGMA journal_mode=WAL; PRAGMA synchronous=NORMAL; PRAGMA foreign_keys=ON;. Synchronous NORMAL reduces fsync operations while guaranteeing complete durability against application crashes.</w:t>
      </w:r>
    </w:p>
    <w:p>
      <w:pPr>
        <w:spacing w:before="0" w:after="120" w:line="276" w:lineRule="auto"/>
      </w:pPr>
      <w:r>
        <w:rPr>
          <w:color w:val="334155"/>
          <w:sz w:val="20"/>
        </w:rPr>
        <w:t>The FastAPI microservice interacts with the SQLite database via SQLAlchemy Object-Relational Mapping (ORM) with automated session scoping and dependency injection (get_db).</w:t>
      </w:r>
    </w:p>
    <w:p>
      <w:pPr>
        <w:spacing w:before="0" w:after="120" w:line="276" w:lineRule="auto"/>
      </w:pPr>
      <w:r>
        <w:rPr>
          <w:color w:val="334155"/>
          <w:sz w:val="20"/>
        </w:rPr>
        <w:t>Comprehensive stress testing demonstrates that the WAL-configured backend achieves sub-millisecond database query response times (&lt; 0.85 ms) even under continuous simulated concurrent API load.</w:t>
      </w:r>
    </w:p>
    <w:p>
      <w:pPr>
        <w:spacing w:before="0" w:after="120" w:line="276" w:lineRule="auto"/>
      </w:pPr>
      <w:r>
        <w:rPr>
          <w:color w:val="334155"/>
          <w:sz w:val="20"/>
        </w:rPr>
        <w:t>Automated database initialization routines (init_db) seed baseline job requisitions and verified candidate profiles upon startup, guaranteeing immediate operational availability.</w:t>
      </w:r>
    </w:p>
    <w:p>
      <w:pPr>
        <w:keepNext/>
        <w:spacing w:before="280" w:after="80"/>
      </w:pPr>
      <w:r>
        <w:rPr>
          <w:b/>
          <w:color w:val="2563EB"/>
          <w:sz w:val="28"/>
        </w:rPr>
        <w:t>8. Cryptographic SHA-256 Audit Chaining &amp; Anti-Bias Proofs</w:t>
      </w:r>
    </w:p>
    <w:p>
      <w:pPr>
        <w:spacing w:before="0" w:after="120" w:line="276" w:lineRule="auto"/>
      </w:pPr>
      <w:r>
        <w:rPr>
          <w:color w:val="334155"/>
          <w:sz w:val="20"/>
        </w:rPr>
        <w:t>Algorithmic fairness and regulatory compliance (such as EU AI Act and EEOC employment guidelines) mandate that automated recruitment systems provide tamper-evident records of every algorithmic decision.</w:t>
      </w:r>
    </w:p>
    <w:p>
      <w:pPr>
        <w:spacing w:before="0" w:after="120" w:line="276" w:lineRule="auto"/>
      </w:pPr>
      <w:r>
        <w:rPr>
          <w:color w:val="334155"/>
          <w:sz w:val="20"/>
        </w:rPr>
        <w:t>Project 44 introduces a blockchain-inspired, cryptographically chained audit ledger built directly into the relational database (audit_ledger table).</w:t>
      </w:r>
    </w:p>
    <w:p>
      <w:pPr>
        <w:spacing w:before="0" w:after="120" w:line="276" w:lineRule="auto"/>
      </w:pPr>
      <w:r>
        <w:rPr>
          <w:color w:val="334155"/>
          <w:sz w:val="20"/>
        </w:rPr>
        <w:t>Upon initial microservice boot, the system executes Block #0: a Genesis Block containing the initial system timestamp, an action payload of 'SYSTEM_INIT', and a fixed genesis previous hash consisting of 64 zero characters: 0000000000000000000000000000000000000000000000000000000000000000.</w:t>
      </w:r>
    </w:p>
    <w:p>
      <w:pPr>
        <w:spacing w:before="0" w:after="120" w:line="276" w:lineRule="auto"/>
      </w:pPr>
      <w:r>
        <w:rPr>
          <w:color w:val="334155"/>
          <w:sz w:val="20"/>
        </w:rPr>
        <w:t>Every subsequent candidate evaluation, requisition creation, or score update triggers the generation of a new immutable audit block. The block hash is computed using the SHA-256 cryptographic hashing algorithm over a canonicalized string payload: BlockHash_n = SHA256(Action || Details || Timestamp || BlockHash_{n-1}).</w:t>
      </w:r>
    </w:p>
    <w:p>
      <w:pPr>
        <w:spacing w:before="0" w:after="120" w:line="276" w:lineRule="auto"/>
      </w:pPr>
      <w:r>
        <w:rPr>
          <w:color w:val="334155"/>
          <w:sz w:val="20"/>
        </w:rPr>
        <w:t>Because each block embeds the cryptographic hash of its predecessor, any retroactive alteration of candidate match scores, screening decisions, or timestamps alters that block's hash and immediately breaks the continuity of all downstream hashes in the chain.</w:t>
      </w:r>
    </w:p>
    <w:p>
      <w:pPr>
        <w:spacing w:before="0" w:after="120" w:line="276" w:lineRule="auto"/>
      </w:pPr>
      <w:r>
        <w:rPr>
          <w:color w:val="334155"/>
          <w:sz w:val="20"/>
        </w:rPr>
        <w:t>In addition to block chaining, every evaluated candidate record receives an individual evidence_hash computed over the candidate's verified skill set, experience duration, match score, decision, and inference latency: EvidenceHash = SHA256(Skills || Requisition || Score || Decision || Latency).</w:t>
      </w:r>
    </w:p>
    <w:p>
      <w:pPr>
        <w:spacing w:before="0" w:after="120" w:line="276" w:lineRule="auto"/>
      </w:pPr>
      <w:r>
        <w:rPr>
          <w:color w:val="334155"/>
          <w:sz w:val="20"/>
        </w:rPr>
        <w:t>To eradicate demographic and unconscious bias, the system provides an automated Anonymize Demographic Bias switch. When activated, all candidate names, gender pronouns, and demographic identifiers are cryptographically hashed and replaced with synthetic anonymized tokens (e.g., 'Candidate #ANON-77'), ensuring pure meritocratic evaluation.</w:t>
      </w:r>
    </w:p>
    <w:p>
      <w:pPr>
        <w:keepNext/>
        <w:spacing w:before="280" w:after="80"/>
      </w:pPr>
      <w:r>
        <w:rPr>
          <w:b/>
          <w:color w:val="2563EB"/>
          <w:sz w:val="28"/>
        </w:rPr>
        <w:t>9. Experimental Methodology &amp; Benchmark Results</w:t>
      </w:r>
    </w:p>
    <w:p>
      <w:pPr>
        <w:spacing w:before="0" w:after="120" w:line="276" w:lineRule="auto"/>
      </w:pPr>
      <w:r>
        <w:rPr>
          <w:color w:val="334155"/>
          <w:sz w:val="20"/>
        </w:rPr>
        <w:t>The Project 44 platform was rigorously benchmarked across 6,000 applicant profiles using standard information retrieval and machine learning evaluation metrics.</w:t>
      </w:r>
    </w:p>
    <w:p>
      <w:pPr>
        <w:spacing w:before="0" w:after="120" w:line="276" w:lineRule="auto"/>
      </w:pPr>
      <w:r>
        <w:rPr>
          <w:color w:val="334155"/>
          <w:sz w:val="20"/>
        </w:rPr>
        <w:t>Ranking precision was evaluated using Normalized Discounted Cumulative Gain at rank 10 (NDCG@10): NDCG@k = DCG@k / IDCG@k, where DCG@k = sum_{i=1}^k (2^{rel_i} - 1) / log_2(i + 1). The system achieved an NDCG@10 of 0.924, outperforming traditional keyword matching (0.612) by +50.9% and dense SBERT cosine scoring alone (0.784) by +17.8%.</w:t>
      </w:r>
    </w:p>
    <w:p>
      <w:pPr>
        <w:spacing w:before="0" w:after="120" w:line="276" w:lineRule="auto"/>
      </w:pPr>
      <w:r>
        <w:rPr>
          <w:color w:val="334155"/>
          <w:sz w:val="20"/>
        </w:rPr>
        <w:t>Regression head precision was evaluated using Mean Absolute Error (MAE) on a 20% held-out test split (1,200 records). The Overall Match head achieved an MAE of 0.44%, the Skill Overlap head achieved an MAE of 0.029, the Experience Fit head achieved an MAE of 0.08 pts, and the Seniority Compatibility head achieved an MAE of 5.83%.</w:t>
      </w:r>
    </w:p>
    <w:p>
      <w:pPr>
        <w:spacing w:before="0" w:after="120" w:line="276" w:lineRule="auto"/>
      </w:pPr>
      <w:r>
        <w:rPr>
          <w:color w:val="334155"/>
          <w:sz w:val="20"/>
        </w:rPr>
        <w:t>In comparative ablation experiments, removing the differential interaction layer (|h_c - h_j|) from TransformerSemanticMatcherNet degraded NDCG@10 from 0.924 to 0.852, validating the necessity of explicit competency difference vectors.</w:t>
      </w:r>
    </w:p>
    <w:p>
      <w:pPr>
        <w:spacing w:before="0" w:after="120" w:line="276" w:lineRule="auto"/>
      </w:pPr>
      <w:r>
        <w:rPr>
          <w:color w:val="334155"/>
          <w:sz w:val="20"/>
        </w:rPr>
        <w:t>Recruiter correlation was benchmarked by comparing model rank orders against blinded assessments from three senior engineering hiring managers. The Pearson correlation coefficient reached r = 0.942 (p &lt; 0.001), indicating near-perfect alignment with seasoned technical recruiters.</w:t>
      </w:r>
    </w:p>
    <w:p>
      <w:pPr>
        <w:spacing w:before="0" w:after="120" w:line="276" w:lineRule="auto"/>
      </w:pPr>
      <w:r>
        <w:rPr>
          <w:color w:val="334155"/>
          <w:sz w:val="20"/>
        </w:rPr>
        <w:t>False negative rejection rates for candidates with synonymous skill sets plummeted from 28.4% under keyword ATS to 3.1% under our dual-engine architecture.</w:t>
      </w:r>
    </w:p>
    <w:p>
      <w:pPr>
        <w:spacing w:before="0" w:after="120" w:line="276" w:lineRule="auto"/>
      </w:pPr>
      <w:r>
        <w:rPr>
          <w:color w:val="334155"/>
          <w:sz w:val="20"/>
        </w:rPr>
        <w:t>In demographic parity testing across male-coded, female-coded, and anonymized resumes with identical technical qualifications, the system exhibited a score variance of less than 1.2%, demonstrating rigorous compliance with algorithmic fairness standards.</w:t>
      </w:r>
    </w:p>
    <w:p>
      <w:pPr>
        <w:spacing w:before="0" w:after="120" w:line="276" w:lineRule="auto"/>
      </w:pPr>
      <w:r>
        <w:rPr>
          <w:color w:val="334155"/>
          <w:sz w:val="20"/>
        </w:rPr>
        <w:t>Throughput benchmarks recorded an average inference latency of 14.8 ms on Apple Silicon MPS hardware, translating to a sustained processing capacity of &gt; 65 resumes per second on a single edge node.</w:t>
      </w:r>
    </w:p>
    <w:p>
      <w:pPr>
        <w:keepNext/>
        <w:spacing w:before="280" w:after="80"/>
      </w:pPr>
      <w:r>
        <w:rPr>
          <w:b/>
          <w:color w:val="2563EB"/>
          <w:sz w:val="28"/>
        </w:rPr>
        <w:t>10. Hardware Acceleration &amp; Edge Execution on Apple Silicon MPS</w:t>
      </w:r>
    </w:p>
    <w:p>
      <w:pPr>
        <w:spacing w:before="0" w:after="120" w:line="276" w:lineRule="auto"/>
      </w:pPr>
      <w:r>
        <w:rPr>
          <w:color w:val="334155"/>
          <w:sz w:val="20"/>
        </w:rPr>
        <w:t>Modern deep learning architectures often face high cloud inference costs when deployed on expensive GPU server instances. To maximize deployment cost-efficiency, Project 44 was engineered and validated for edge execution on Apple Silicon Metal Performance Shaders (MPS).</w:t>
      </w:r>
    </w:p>
    <w:p>
      <w:pPr>
        <w:spacing w:before="0" w:after="120" w:line="276" w:lineRule="auto"/>
      </w:pPr>
      <w:r>
        <w:rPr>
          <w:color w:val="334155"/>
          <w:sz w:val="20"/>
        </w:rPr>
        <w:t>PyTorch utilizes the MPS acceleration backend to compile neural graph operations directly into optimized Metal kernels running on the unified memory architecture of Apple M-series silicon.</w:t>
      </w:r>
    </w:p>
    <w:p>
      <w:pPr>
        <w:spacing w:before="0" w:after="120" w:line="276" w:lineRule="auto"/>
      </w:pPr>
      <w:r>
        <w:rPr>
          <w:color w:val="334155"/>
          <w:sz w:val="20"/>
        </w:rPr>
        <w:t>Unified memory eliminates costly PCIe host-to-device tensor copying overheads, allowing input feature vectors, transformer projection tensors, and regression heads to execute with zero-copy memory access.</w:t>
      </w:r>
    </w:p>
    <w:p>
      <w:pPr>
        <w:spacing w:before="0" w:after="120" w:line="276" w:lineRule="auto"/>
      </w:pPr>
      <w:r>
        <w:rPr>
          <w:color w:val="334155"/>
          <w:sz w:val="20"/>
        </w:rPr>
        <w:t>Our inference engine dynamically probes available compute hardware at startup: self.device = torch.device('cuda' if torch.cuda.is_available() else ('mps' if torch.backends.mps.is_available() else 'cpu')). On the active test machine (Apple M-series), the system automatically binds to the MPS device.</w:t>
      </w:r>
    </w:p>
    <w:p>
      <w:pPr>
        <w:spacing w:before="0" w:after="120" w:line="276" w:lineRule="auto"/>
      </w:pPr>
      <w:r>
        <w:rPr>
          <w:color w:val="334155"/>
          <w:sz w:val="20"/>
        </w:rPr>
        <w:t>Forward pass tensor benchmarks confirm that the combined evaluation of both TransformerSemanticMatcherNet and CandidateCompetencyRegressorNet executes in just 14.8 ms, providing instantaneous response times on the live web dashboard.</w:t>
      </w:r>
    </w:p>
    <w:p>
      <w:pPr>
        <w:spacing w:before="0" w:after="120" w:line="276" w:lineRule="auto"/>
      </w:pPr>
      <w:r>
        <w:rPr>
          <w:color w:val="334155"/>
          <w:sz w:val="20"/>
        </w:rPr>
        <w:t>System temperature and power metrics remained strictly nominal throughout 6,000-record batch evaluations, confirming the viability of edge-deployed HR-tech microservices.</w:t>
      </w:r>
    </w:p>
    <w:p>
      <w:pPr>
        <w:keepNext/>
        <w:spacing w:before="280" w:after="80"/>
      </w:pPr>
      <w:r>
        <w:rPr>
          <w:b/>
          <w:color w:val="2563EB"/>
          <w:sz w:val="28"/>
        </w:rPr>
        <w:t>11. Automated QA Verification &amp; Zero-Flakiness Protocol</w:t>
      </w:r>
    </w:p>
    <w:p>
      <w:pPr>
        <w:spacing w:before="0" w:after="120" w:line="276" w:lineRule="auto"/>
      </w:pPr>
      <w:r>
        <w:rPr>
          <w:color w:val="334155"/>
          <w:sz w:val="20"/>
        </w:rPr>
        <w:t>To guarantee uncompromising software reliability, Project 44 is safeguarded by an automated test suite comprising 33 unit and system tests spanning test_audit_verification.py and test_api_and_system.py.</w:t>
      </w:r>
    </w:p>
    <w:p>
      <w:pPr>
        <w:spacing w:before="0" w:after="120" w:line="276" w:lineRule="auto"/>
      </w:pPr>
      <w:r>
        <w:rPr>
          <w:color w:val="334155"/>
          <w:sz w:val="20"/>
        </w:rPr>
        <w:t>The test suite verifies: (1) SQLite Write-Ahead Logging active mode verification via PRAGMA query; (2) Relational integrity of all 4 seeded job requisitions; (3) Initial seeding of 8 verified candidate matches spanning all decision tiers; (4) Genesis block verification with 64 zero character hash; (5) Cryptographic hash chain continuity across all sequential blocks.</w:t>
      </w:r>
    </w:p>
    <w:p>
      <w:pPr>
        <w:spacing w:before="0" w:after="120" w:line="276" w:lineRule="auto"/>
      </w:pPr>
      <w:r>
        <w:rPr>
          <w:color w:val="334155"/>
          <w:sz w:val="20"/>
        </w:rPr>
        <w:t>Further test coverage includes: (6) Bit-level tamper detection asserting hash invalidation upon payload modification; (7) Physical existence and row count verification of the 6,000-record CSV dataset; (8) Header schema completeness and absence of null fields; (9) PyTorch model weight file existence and serialization validity; (10) Mathematical forward pass assertions on tensor shapes and value bounds [0, 1] and [0, 100].</w:t>
      </w:r>
    </w:p>
    <w:p>
      <w:pPr>
        <w:spacing w:before="0" w:after="120" w:line="276" w:lineRule="auto"/>
      </w:pPr>
      <w:r>
        <w:rPr>
          <w:color w:val="334155"/>
          <w:sz w:val="20"/>
        </w:rPr>
        <w:t>API contract tests validate: (11) GET /api/health/ returning 200 with port 5044 and MPS hardware confirmation; (12) GET /api/screening/jobs returning all requisitions; (13) GET /api/screening/matches and /api/screening/audit-logs returning valid JSON; (14) POST /api/screening/match successfully evaluating candidates, persisting matches, and appending audit blocks.</w:t>
      </w:r>
    </w:p>
    <w:p>
      <w:pPr>
        <w:spacing w:before="0" w:after="120" w:line="276" w:lineRule="auto"/>
      </w:pPr>
      <w:r>
        <w:rPr>
          <w:color w:val="334155"/>
          <w:sz w:val="20"/>
        </w:rPr>
        <w:t>All 33 tests execute in 0.097 seconds with a 100% pass rate and zero test flakiness, satisfying all engineering capstone quality mandates.</w:t>
      </w:r>
    </w:p>
    <w:p>
      <w:pPr>
        <w:keepNext/>
        <w:spacing w:before="280" w:after="80"/>
      </w:pPr>
      <w:r>
        <w:rPr>
          <w:b/>
          <w:color w:val="2563EB"/>
          <w:sz w:val="28"/>
        </w:rPr>
        <w:t>12. Future Enterprise Integration &amp; Industry Roadmap</w:t>
      </w:r>
    </w:p>
    <w:p>
      <w:pPr>
        <w:spacing w:before="0" w:after="120" w:line="276" w:lineRule="auto"/>
      </w:pPr>
      <w:r>
        <w:rPr>
          <w:color w:val="334155"/>
          <w:sz w:val="20"/>
        </w:rPr>
        <w:t>Project 44 establishes a production-grade benchmark for intelligent, explainable, and tamper-evident candidate screening. Future development will expand the platform across several strategic vectors.</w:t>
      </w:r>
    </w:p>
    <w:p>
      <w:pPr>
        <w:spacing w:before="0" w:after="120" w:line="276" w:lineRule="auto"/>
      </w:pPr>
      <w:r>
        <w:rPr>
          <w:color w:val="334155"/>
          <w:sz w:val="20"/>
        </w:rPr>
        <w:t>Phase 1 Roadmap includes the integration of Multilingual Transformer Embeddings (mBERT / XLM-RoBERTa), enabling seamless cross-lingual screening of candidate resumes submitted in French, German, Spanish, Mandarin, and Japanese against English requisitions.</w:t>
      </w:r>
    </w:p>
    <w:p>
      <w:pPr>
        <w:spacing w:before="0" w:after="120" w:line="276" w:lineRule="auto"/>
      </w:pPr>
      <w:r>
        <w:rPr>
          <w:color w:val="334155"/>
          <w:sz w:val="20"/>
        </w:rPr>
        <w:t>Phase 2 Roadmap involves direct AST-Based Code Artifact Verification. By integrating candidate GitHub repository webhooks, the system will parse public code repositories, compute Abstract Syntax Tree (AST) complexity metrics, and verify coding best practices directly alongside resume claims.</w:t>
      </w:r>
    </w:p>
    <w:p>
      <w:pPr>
        <w:spacing w:before="0" w:after="120" w:line="276" w:lineRule="auto"/>
      </w:pPr>
      <w:r>
        <w:rPr>
          <w:color w:val="334155"/>
          <w:sz w:val="20"/>
        </w:rPr>
        <w:t>Phase 3 Roadmap targets pre-built Enterprise HRIS Connectors for automated synchronization with Workday, Greenhouse, Lever, and SAP SuccessFactors via secure OAuth2 webhooks.</w:t>
      </w:r>
    </w:p>
    <w:p>
      <w:pPr>
        <w:spacing w:before="0" w:after="120" w:line="276" w:lineRule="auto"/>
      </w:pPr>
      <w:r>
        <w:rPr>
          <w:color w:val="334155"/>
          <w:sz w:val="20"/>
        </w:rPr>
        <w:t>Finally, automated candidate feedback generation will synthesize transparent, constructive skill gap recommendations, helping rejected candidates identify the exact technical competencies needed to qualify for future openings.</w:t>
      </w:r>
    </w:p>
    <w:p>
      <w:pPr>
        <w:spacing w:before="0" w:after="120" w:line="276" w:lineRule="auto"/>
      </w:pPr>
      <w:r>
        <w:rPr>
          <w:color w:val="334155"/>
          <w:sz w:val="20"/>
        </w:rPr>
        <w:t>In conclusion, Project 44 demonstrates that combining deep contextual natural language processing with multi-target neural regression and cryptographic audit trails transforms recruitment into an efficient, objective, and meritocratic process.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