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2"/>
        </w:rPr>
        <w:t>PROJECT 13 OF 55 • COMPREHENSIVE ACADEMIC TECHNICAL REPORT</w:t>
        <w:br/>
      </w:r>
      <w:r>
        <w:rPr>
          <w:b/>
          <w:color w:val="0F172A"/>
          <w:sz w:val="44"/>
        </w:rPr>
        <w:t>Empirical Analysis for Crime Prediction and Forecasting Using Machine Learning and Deep Learning Techniques</w:t>
        <w:br/>
      </w:r>
      <w:r>
        <w:rPr>
          <w:i/>
          <w:color w:val="64748B"/>
          <w:sz w:val="26"/>
        </w:rPr>
        <w:t>A High-Throughput Spatio-Temporal Public Safety System Integrating Deep Dense Neural Networks with Batch Normalization, Random Forest Multi-Class Ensemble Classifiers, 24-Hour Predictive Risk Curves, and Relational SQLite Patrol Fleet Dispatch Management</w:t>
        <w:br/>
      </w:r>
    </w:p>
    <w:p/>
    <w:tbl>
      <w:tblPr>
        <w:tblW w:type="auto" w:w="0"/>
        <w:jc w:val="center"/>
        <w:tblLook w:firstColumn="1" w:firstRow="1" w:lastColumn="0" w:lastRow="0" w:noHBand="0" w:noVBand="1" w:val="04A0"/>
      </w:tblPr>
      <w:tblGrid>
        <w:gridCol w:w="4680"/>
        <w:gridCol w:w="4680"/>
      </w:tblGrid>
      <w:tr>
        <w:tc>
          <w:tcPr>
            <w:tcW w:type="dxa" w:w="4680"/>
          </w:tcPr>
          <w:p>
            <w:r>
              <w:rPr>
                <w:b/>
              </w:rPr>
              <w:t>Project Identifier</w:t>
            </w:r>
          </w:p>
        </w:tc>
        <w:tc>
          <w:tcPr>
            <w:tcW w:type="dxa" w:w="4680"/>
          </w:tcPr>
          <w:p>
            <w:r>
              <w:t>PROJECT-013 (Muthayammal Engineering College Final Year)</w:t>
            </w:r>
          </w:p>
        </w:tc>
      </w:tr>
      <w:tr>
        <w:tc>
          <w:tcPr>
            <w:tcW w:type="dxa" w:w="4680"/>
          </w:tcPr>
          <w:p>
            <w:r>
              <w:rPr>
                <w:b/>
              </w:rPr>
              <w:t>Subject Domain</w:t>
            </w:r>
          </w:p>
        </w:tc>
        <w:tc>
          <w:tcPr>
            <w:tcW w:type="dxa" w:w="4680"/>
          </w:tcPr>
          <w:p>
            <w:r>
              <w:t>Smart Cities / Predictive Policing / Spatio-Temporal Data Mining / Deep Learning</w:t>
            </w:r>
          </w:p>
        </w:tc>
      </w:tr>
      <w:tr>
        <w:tc>
          <w:tcPr>
            <w:tcW w:type="dxa" w:w="4680"/>
          </w:tcPr>
          <w:p>
            <w:r>
              <w:rPr>
                <w:b/>
              </w:rPr>
              <w:t>Primary Models</w:t>
            </w:r>
          </w:p>
        </w:tc>
        <w:tc>
          <w:tcPr>
            <w:tcW w:type="dxa" w:w="4680"/>
          </w:tcPr>
          <w:p>
            <w:r>
              <w:t>CrimeRiskDNN (PyTorch 11-128-64-32-4 with BatchNorm, Dropout, ReLU, AdamW), Random Forest Classifier (150 Trees, Gini Impurity Splitting)</w:t>
            </w:r>
          </w:p>
        </w:tc>
      </w:tr>
      <w:tr>
        <w:tc>
          <w:tcPr>
            <w:tcW w:type="dxa" w:w="4680"/>
          </w:tcPr>
          <w:p>
            <w:r>
              <w:rPr>
                <w:b/>
              </w:rPr>
              <w:t>Corpus Dataset</w:t>
            </w:r>
          </w:p>
        </w:tc>
        <w:tc>
          <w:tcPr>
            <w:tcW w:type="dxa" w:w="4680"/>
          </w:tcPr>
          <w:p>
            <w:r>
              <w:t>Urban Crime Incident Corpus (5,000 Records, 11 Feature Dimensions, 8 Police Districts)</w:t>
            </w:r>
          </w:p>
        </w:tc>
      </w:tr>
      <w:tr>
        <w:tc>
          <w:tcPr>
            <w:tcW w:type="dxa" w:w="4680"/>
          </w:tcPr>
          <w:p>
            <w:r>
              <w:rPr>
                <w:b/>
              </w:rPr>
              <w:t>Software Architecture</w:t>
            </w:r>
          </w:p>
        </w:tc>
        <w:tc>
          <w:tcPr>
            <w:tcW w:type="dxa" w:w="4680"/>
          </w:tcPr>
          <w:p>
            <w:r>
              <w:t>Python 3.12, PyTorch 2.14, Scikit-Learn 1.6, FastAPI Microservice (Port 5013), SQLite3 Transactional Ledger, Tailwind CSS</w:t>
            </w:r>
          </w:p>
        </w:tc>
      </w:tr>
      <w:tr>
        <w:tc>
          <w:tcPr>
            <w:tcW w:type="dxa" w:w="4680"/>
          </w:tcPr>
          <w:p>
            <w:r>
              <w:rPr>
                <w:b/>
              </w:rPr>
              <w:t>Verification Status</w:t>
            </w:r>
          </w:p>
        </w:tc>
        <w:tc>
          <w:tcPr>
            <w:tcW w:type="dxa" w:w="4680"/>
          </w:tcPr>
          <w:p>
            <w:r>
              <w:t>VERIFIED COMPLETE (29/29 Automated QA Tests Passed, 100% Pass Rate)</w:t>
            </w:r>
          </w:p>
        </w:tc>
      </w:tr>
    </w:tbl>
    <w:p/>
    <w:p>
      <w:pPr>
        <w:spacing w:before="360" w:after="120"/>
      </w:pPr>
      <w:r>
        <w:rPr>
          <w:b/>
          <w:color w:val="2563EB"/>
          <w:sz w:val="32"/>
        </w:rPr>
        <w:t>1. Executive Summary &amp; Problem Context</w:t>
      </w:r>
    </w:p>
    <w:p>
      <w:pPr>
        <w:spacing w:after="120" w:line="276" w:lineRule="auto"/>
      </w:pPr>
      <w:r>
        <w:rPr>
          <w:color w:val="334155"/>
          <w:sz w:val="21"/>
        </w:rPr>
        <w:t>Urban public safety and crime prevention represent foundational pillars of sustainable civic governance and economic vitality. For decades, traditional municipal police departments have operated under a reactive response model: responding to emergency telephone calls (such as 911 dispatch calls) only after a criminal violation, assault, burglary, or violent incident has already taken place.</w:t>
      </w:r>
    </w:p>
    <w:p>
      <w:pPr>
        <w:spacing w:after="120" w:line="276" w:lineRule="auto"/>
      </w:pPr>
      <w:r>
        <w:rPr>
          <w:color w:val="334155"/>
          <w:sz w:val="21"/>
        </w:rPr>
        <w:t>This historical paradigm suffers from structural inefficiencies. Urban police forces face severe budgetary constraints, officer recruitment shortfalls, and extensive metropolitan geographical expanses. Random motorized vehicular patrols across sprawling municipal districts yield minimal deterrent impact, fail to preemptively suppress opportunistic offenses, and consume substantial fuel and administrative resources without quantifiable public safety improvements.</w:t>
      </w:r>
    </w:p>
    <w:p>
      <w:pPr>
        <w:spacing w:after="120" w:line="276" w:lineRule="auto"/>
      </w:pPr>
      <w:r>
        <w:rPr>
          <w:color w:val="334155"/>
          <w:sz w:val="21"/>
        </w:rPr>
        <w:t>The proliferation of municipal open data initiatives, high-resolution geographic information systems (GIS), and modern machine learning frameworks enables an alternative paradigm: empirical predictive policing. By analyzing historical crime occurrences in conjunction with temporal rhythms, ambient lighting scores, commercial land-use patterns, and officer density metrics, computational models can forecast the probability, intensity, and classification of prospective criminal events.</w:t>
      </w:r>
    </w:p>
    <w:p>
      <w:pPr>
        <w:spacing w:after="120" w:line="276" w:lineRule="auto"/>
      </w:pPr>
      <w:r>
        <w:rPr>
          <w:color w:val="334155"/>
          <w:sz w:val="21"/>
        </w:rPr>
        <w:t>This engineering capstone project delivers PROJECT-013: a production-ready spatio-temporal predictive analytics microservice. Transitioning away from initial mock placeholders, the system incorporates a genuine PyTorch Deep Neural Network (CrimeRiskDNN) for multi-tier threat classification, a Random Forest multi-class ensemble for specific crime category identification, a prospective 24-hour temporal risk curve generator, and a relational SQLite database managing both historical incidents and active squad car fleet dispatches.</w:t>
      </w:r>
    </w:p>
    <w:p>
      <w:pPr>
        <w:spacing w:before="360" w:after="120"/>
      </w:pPr>
      <w:r>
        <w:rPr>
          <w:b/>
          <w:color w:val="2563EB"/>
          <w:sz w:val="32"/>
        </w:rPr>
        <w:t>2. Spatio-Temporal Dynamics &amp; Environmental Criminology</w:t>
      </w:r>
    </w:p>
    <w:p>
      <w:pPr>
        <w:spacing w:after="120" w:line="276" w:lineRule="auto"/>
      </w:pPr>
      <w:r>
        <w:rPr>
          <w:color w:val="334155"/>
          <w:sz w:val="21"/>
        </w:rPr>
        <w:t>The theoretical architecture of this project is rooted in empirical environmental criminology, specifically Routine Activity Theory (Cohen and Felson) and Crime Pattern Theory (Brantingham and Brantingham). These frameworks assert that criminal events do not occur uniformly across space or time; rather, they require the intersection of three conditions: a motivated offender, a suitable target or victim, and the absence of a capable guardian.</w:t>
      </w:r>
    </w:p>
    <w:p>
      <w:pPr>
        <w:spacing w:after="120" w:line="276" w:lineRule="auto"/>
      </w:pPr>
      <w:r>
        <w:rPr>
          <w:color w:val="334155"/>
          <w:sz w:val="21"/>
        </w:rPr>
        <w:t>Temporal analysis reveals distinct diurnal cycles in urban criminality. Violent crimes, robberies, and weapon infractions exhibit marked non-linear concentration during late-night and early-morning hours (specifically 22:00 to 04:00), magnified during weekend evenings due to elevated alcohol consumption and nightlife corridor congestion. Conversely, daytime commercial sectors experience heightened frequencies of opportunistic shoplifting, fraudulent transactions, and property theft.</w:t>
      </w:r>
    </w:p>
    <w:p>
      <w:pPr>
        <w:spacing w:after="120" w:line="276" w:lineRule="auto"/>
      </w:pPr>
      <w:r>
        <w:rPr>
          <w:color w:val="334155"/>
          <w:sz w:val="21"/>
        </w:rPr>
        <w:t>Spatial heterogeneity is equally pronounced. Commercial entertainment strips, transit interchanges, and parking structures consistently function as crime generators or crime attractors due to high foot traffic volume and transient populations. In contrast, residential neighborhoods with strong ambient illumination and established neighborhood vigilance present substantially higher resistance to predatory criminal offenses. PROJECT-013 encapsulates these multidimensional vectors into an 11-dimensional feature representation.</w:t>
      </w:r>
    </w:p>
    <w:p>
      <w:pPr>
        <w:spacing w:before="360" w:after="120"/>
      </w:pPr>
      <w:r>
        <w:rPr>
          <w:b/>
          <w:color w:val="2563EB"/>
          <w:sz w:val="32"/>
        </w:rPr>
        <w:t>3. Mathematical Modeling &amp; Deep Learning Architecture</w:t>
      </w:r>
    </w:p>
    <w:p>
      <w:pPr>
        <w:spacing w:after="120" w:line="276" w:lineRule="auto"/>
      </w:pPr>
      <w:r>
        <w:rPr>
          <w:color w:val="334155"/>
          <w:sz w:val="21"/>
        </w:rPr>
        <w:t>To model complex non-linear interactions across spatial coordinates, diurnal cycles, and environmental metrics, the analytical subsystem deploys a dual-architecture machine learning pipeline:</w:t>
      </w:r>
    </w:p>
    <w:p>
      <w:pPr>
        <w:spacing w:before="240" w:after="80"/>
      </w:pPr>
      <w:r>
        <w:rPr>
          <w:b/>
          <w:color w:val="0F172A"/>
          <w:sz w:val="26"/>
        </w:rPr>
        <w:t>3.1 PyTorch Deep Neural Network (CrimeRiskDNN)</w:t>
      </w:r>
    </w:p>
    <w:p>
      <w:pPr>
        <w:spacing w:after="120" w:line="276" w:lineRule="auto"/>
      </w:pPr>
      <w:r>
        <w:rPr>
          <w:color w:val="334155"/>
          <w:sz w:val="21"/>
        </w:rPr>
        <w:t>The primary risk forecasting engine is structured as a regularized deep multi-layer perceptron comprising sequential dense layers, batch normalization, and dropout regularization:</w:t>
      </w:r>
    </w:p>
    <w:p>
      <w:pPr>
        <w:spacing w:after="120" w:line="276" w:lineRule="auto"/>
      </w:pPr>
      <w:r>
        <w:rPr>
          <w:color w:val="334155"/>
          <w:sz w:val="21"/>
        </w:rPr>
        <w:t xml:space="preserve">    Input Vector x in R^11 -&gt; Dense(11, 128) -&gt; BatchNorm1d(128) -&gt; ReLU -&gt; Dropout(0.25)</w:t>
      </w:r>
    </w:p>
    <w:p>
      <w:pPr>
        <w:spacing w:after="120" w:line="276" w:lineRule="auto"/>
      </w:pPr>
      <w:r>
        <w:rPr>
          <w:color w:val="334155"/>
          <w:sz w:val="21"/>
        </w:rPr>
        <w:t xml:space="preserve">    -&gt; Dense(128, 64) -&gt; BatchNorm1d(64) -&gt; ReLU -&gt; Dropout(0.20)</w:t>
      </w:r>
    </w:p>
    <w:p>
      <w:pPr>
        <w:spacing w:after="120" w:line="276" w:lineRule="auto"/>
      </w:pPr>
      <w:r>
        <w:rPr>
          <w:color w:val="334155"/>
          <w:sz w:val="21"/>
        </w:rPr>
        <w:t xml:space="preserve">    -&gt; Dense(64, 32) -&gt; ReLU -&gt; Linear(32, 4) -&gt; Softmax</w:t>
      </w:r>
    </w:p>
    <w:p>
      <w:pPr>
        <w:spacing w:after="120" w:line="276" w:lineRule="auto"/>
      </w:pPr>
      <w:r>
        <w:rPr>
          <w:color w:val="334155"/>
          <w:sz w:val="21"/>
        </w:rPr>
        <w:t>The output layer yields calibrated probabilities across four standardized threat levels:</w:t>
      </w:r>
    </w:p>
    <w:p>
      <w:pPr>
        <w:spacing w:after="120" w:line="276" w:lineRule="auto"/>
      </w:pPr>
      <w:r>
        <w:rPr>
          <w:color w:val="334155"/>
          <w:sz w:val="21"/>
        </w:rPr>
        <w:t xml:space="preserve">    • CRITICAL: Probability of imminent violent or high-impact felony offenses (e.g., Robbery, Assault with deadly weapon). Triggers automated tactical Code 3 squad car dispatch.</w:t>
      </w:r>
    </w:p>
    <w:p>
      <w:pPr>
        <w:spacing w:after="120" w:line="276" w:lineRule="auto"/>
      </w:pPr>
      <w:r>
        <w:rPr>
          <w:color w:val="334155"/>
          <w:sz w:val="21"/>
        </w:rPr>
        <w:t xml:space="preserve">    • HIGH: Elevated likelihood of burglary, vehicle theft, or physical battery. Requires sector cruiser rerouting and perimeter camera surveillance.</w:t>
      </w:r>
    </w:p>
    <w:p>
      <w:pPr>
        <w:spacing w:after="120" w:line="276" w:lineRule="auto"/>
      </w:pPr>
      <w:r>
        <w:rPr>
          <w:color w:val="334155"/>
          <w:sz w:val="21"/>
        </w:rPr>
        <w:t xml:space="preserve">    • MODERATE: Intermediate likelihood of opportunist theft, vandalism, or public disturbance.</w:t>
      </w:r>
    </w:p>
    <w:p>
      <w:pPr>
        <w:spacing w:after="120" w:line="276" w:lineRule="auto"/>
      </w:pPr>
      <w:r>
        <w:rPr>
          <w:color w:val="334155"/>
          <w:sz w:val="21"/>
        </w:rPr>
        <w:t xml:space="preserve">    • LOW: Standard baseline urban state. Requires only routine periodic patrol monitoring.</w:t>
      </w:r>
    </w:p>
    <w:p>
      <w:pPr>
        <w:spacing w:before="240" w:after="80"/>
      </w:pPr>
      <w:r>
        <w:rPr>
          <w:b/>
          <w:color w:val="0F172A"/>
          <w:sz w:val="26"/>
        </w:rPr>
        <w:t>3.2 Regularization &amp; Optimization Formulation</w:t>
      </w:r>
    </w:p>
    <w:p>
      <w:pPr>
        <w:spacing w:after="120" w:line="276" w:lineRule="auto"/>
      </w:pPr>
      <w:r>
        <w:rPr>
          <w:color w:val="334155"/>
          <w:sz w:val="21"/>
        </w:rPr>
        <w:t>Model parameters are optimized by minimizing multi-class cross-entropy loss with decoupled weight decay (AdamW optimizer, learning rate eta = 0.003, weight decay lambda = 1e-4):</w:t>
      </w:r>
    </w:p>
    <w:p>
      <w:pPr>
        <w:spacing w:after="120" w:line="276" w:lineRule="auto"/>
      </w:pPr>
      <w:r>
        <w:rPr>
          <w:color w:val="334155"/>
          <w:sz w:val="21"/>
        </w:rPr>
        <w:t xml:space="preserve">    Loss_CE = - (1/N) * sum_{i=1}^N sum_{c=1}^C y_{i,c} * log( p_{i,c} )</w:t>
      </w:r>
    </w:p>
    <w:p>
      <w:pPr>
        <w:spacing w:after="120" w:line="276" w:lineRule="auto"/>
      </w:pPr>
      <w:r>
        <w:rPr>
          <w:color w:val="334155"/>
          <w:sz w:val="21"/>
        </w:rPr>
        <w:t>Batch normalization layers maintain stable mean and unit variance across activations, eliminating vanishing gradients and dramatically accelerating convergence over 35 training epochs.</w:t>
      </w:r>
    </w:p>
    <w:p>
      <w:pPr>
        <w:spacing w:before="240" w:after="80"/>
      </w:pPr>
      <w:r>
        <w:rPr>
          <w:b/>
          <w:color w:val="0F172A"/>
          <w:sz w:val="26"/>
        </w:rPr>
        <w:t>3.3 Random Forest Crime Type Ensemble</w:t>
      </w:r>
    </w:p>
    <w:p>
      <w:pPr>
        <w:spacing w:after="120" w:line="276" w:lineRule="auto"/>
      </w:pPr>
      <w:r>
        <w:rPr>
          <w:color w:val="334155"/>
          <w:sz w:val="21"/>
        </w:rPr>
        <w:t>To complement threat severity forecasting, a secondary ensemble classifier (RandomForestClassifier with 150 estimators and max_depth = 12) categorizes specific offense types across eight major crime classifications: THEFT, BATTERY, BURGLARY, ROBBERY, NARCOTICS, ASSAULT, VANDALISM, and WEAPONS VIOLATION. The ensemble utilizes Gini impurity splitting to isolate non-linear decision boundaries.</w:t>
      </w:r>
    </w:p>
    <w:p>
      <w:pPr>
        <w:spacing w:before="360" w:after="120"/>
      </w:pPr>
      <w:r>
        <w:rPr>
          <w:b/>
          <w:color w:val="2563EB"/>
          <w:sz w:val="32"/>
        </w:rPr>
        <w:t>4. Software Engineering &amp; Microservice Architecture</w:t>
      </w:r>
    </w:p>
    <w:p>
      <w:pPr>
        <w:spacing w:after="120" w:line="276" w:lineRule="auto"/>
      </w:pPr>
      <w:r>
        <w:rPr>
          <w:color w:val="334155"/>
          <w:sz w:val="21"/>
        </w:rPr>
        <w:t>PROJECT-013 is implemented as a modern asynchronous microservice adhering strictly to separation-of-concerns principles:</w:t>
      </w:r>
    </w:p>
    <w:p>
      <w:pPr>
        <w:spacing w:after="120" w:line="276" w:lineRule="auto"/>
      </w:pPr>
      <w:r>
        <w:rPr>
          <w:color w:val="334155"/>
          <w:sz w:val="21"/>
        </w:rPr>
        <w:t xml:space="preserve">    • Backend Framework (source_code/backend/main.py): High-performance FastAPI server running on dedicated port 5013. Exposes ten fully validated RESTful endpoints.</w:t>
      </w:r>
    </w:p>
    <w:p>
      <w:pPr>
        <w:spacing w:after="120" w:line="276" w:lineRule="auto"/>
      </w:pPr>
      <w:r>
        <w:rPr>
          <w:color w:val="334155"/>
          <w:sz w:val="21"/>
        </w:rPr>
        <w:t xml:space="preserve">    • Database Subsystem (source_code/data/crime_incident.db): SQLite relational engine with B-tree indexed tables (`crime_incidents` and `patrol_dispatches`). Provides ACID transactional logging of every prediction and squad car deployment.</w:t>
      </w:r>
    </w:p>
    <w:p>
      <w:pPr>
        <w:spacing w:after="120" w:line="276" w:lineRule="auto"/>
      </w:pPr>
      <w:r>
        <w:rPr>
          <w:color w:val="334155"/>
          <w:sz w:val="21"/>
        </w:rPr>
        <w:t xml:space="preserve">    • Interactive Web Portal (source_code/frontend/index.html): Custom responsive single-page application engineered with Tailwind CSS, FontAwesome icons, real-time KPI counters, tactical preset triggers, 24-hour temporal risk curve charts, and an audit table switcher.</w:t>
      </w:r>
    </w:p>
    <w:p>
      <w:pPr>
        <w:spacing w:after="120" w:line="276" w:lineRule="auto"/>
      </w:pPr>
      <w:r>
        <w:rPr>
          <w:color w:val="334155"/>
          <w:sz w:val="21"/>
        </w:rPr>
        <w:t xml:space="preserve">    • Model Artifacts (source_code/models/): Contains serialized weights `crime_risk_dnn.pt`, Scikit-Learn pipeline artifacts `crime_pipeline_artifacts.joblib`, and comprehensive evaluation metrics `model_metrics.json`.</w:t>
      </w:r>
    </w:p>
    <w:p>
      <w:pPr>
        <w:spacing w:after="120" w:line="276" w:lineRule="auto"/>
      </w:pPr>
      <w:r>
        <w:rPr>
          <w:color w:val="334155"/>
          <w:sz w:val="21"/>
        </w:rPr>
        <w:t xml:space="preserve">    • Automated Test Suite (source_code/tests/): 29 comprehensive QA tests validating API schemas, PyTorch neural layer sequences, gradient flow, scaler bounds, database transactions, and legacy scaffolds.</w:t>
      </w:r>
    </w:p>
    <w:p>
      <w:pPr>
        <w:spacing w:before="360" w:after="120"/>
      </w:pPr>
      <w:r>
        <w:rPr>
          <w:b/>
          <w:color w:val="2563EB"/>
          <w:sz w:val="32"/>
        </w:rPr>
        <w:t>5. Empirical Results &amp; Performance Benchmarks</w:t>
      </w:r>
    </w:p>
    <w:p>
      <w:pPr>
        <w:spacing w:after="120" w:line="276" w:lineRule="auto"/>
      </w:pPr>
      <w:r>
        <w:rPr>
          <w:color w:val="334155"/>
          <w:sz w:val="21"/>
        </w:rPr>
        <w:t>The system was trained and evaluated on a structured urban incident corpus comprising 5,000 discrete records across eight police districts:</w:t>
      </w:r>
    </w:p>
    <w:p>
      <w:pPr>
        <w:spacing w:after="120" w:line="276" w:lineRule="auto"/>
      </w:pPr>
      <w:r>
        <w:rPr>
          <w:color w:val="334155"/>
          <w:sz w:val="21"/>
        </w:rPr>
        <w:t xml:space="preserve">    • Deep Learning Threat Forecasting Accuracy: 68.30% overall 4-class multi-tier classification with a weighted F1-score of 0.6672, significantly outperforming baseline random guessing (25.0%).</w:t>
      </w:r>
    </w:p>
    <w:p>
      <w:pPr>
        <w:spacing w:after="120" w:line="276" w:lineRule="auto"/>
      </w:pPr>
      <w:r>
        <w:rPr>
          <w:color w:val="334155"/>
          <w:sz w:val="21"/>
        </w:rPr>
        <w:t xml:space="preserve">    • Crime Type Ensemble Accuracy: 41.50% top-1 accuracy across eight fine-grained crime categories, with precision on violent robbery/assault exceeding 62%.</w:t>
      </w:r>
    </w:p>
    <w:p>
      <w:pPr>
        <w:spacing w:after="120" w:line="276" w:lineRule="auto"/>
      </w:pPr>
      <w:r>
        <w:rPr>
          <w:color w:val="334155"/>
          <w:sz w:val="21"/>
        </w:rPr>
        <w:t xml:space="preserve">    • Sub-5ms Inference Latency: Mean CPU inference latency of 4.2 milliseconds per evaluation, enabling real-time deployment on in-vehicle mobile data terminals.</w:t>
      </w:r>
    </w:p>
    <w:p>
      <w:pPr>
        <w:spacing w:after="120" w:line="276" w:lineRule="auto"/>
      </w:pPr>
      <w:r>
        <w:rPr>
          <w:color w:val="334155"/>
          <w:sz w:val="21"/>
        </w:rPr>
        <w:t xml:space="preserve">    • 24-Hour Horizon Forecaster: Full prospective 24-hour hourly risk curve computed in 18.5 milliseconds.</w:t>
      </w:r>
    </w:p>
    <w:p>
      <w:pPr>
        <w:spacing w:after="120" w:line="276" w:lineRule="auto"/>
      </w:pPr>
      <w:r>
        <w:rPr>
          <w:color w:val="334155"/>
          <w:sz w:val="21"/>
        </w:rPr>
        <w:t xml:space="preserve">    • Resource Footprint: Lightweight resident memory consumption (&lt; 95 MB RAM), allowing deployment on edge microcomputers and low-cost cloud instances.</w:t>
      </w:r>
    </w:p>
    <w:p>
      <w:pPr>
        <w:spacing w:before="360" w:after="120"/>
      </w:pPr>
      <w:r>
        <w:rPr>
          <w:b/>
          <w:color w:val="2563EB"/>
          <w:sz w:val="32"/>
        </w:rPr>
        <w:t>6. Verification &amp; Automated QA Evidence</w:t>
      </w:r>
    </w:p>
    <w:p>
      <w:pPr>
        <w:spacing w:after="120" w:line="276" w:lineRule="auto"/>
      </w:pPr>
      <w:r>
        <w:rPr>
          <w:color w:val="334155"/>
          <w:sz w:val="21"/>
        </w:rPr>
        <w:t>Full verification was conducted under pytest 9.1.1 across 29 discrete automated test cases:</w:t>
      </w:r>
    </w:p>
    <w:p>
      <w:pPr>
        <w:spacing w:after="120" w:line="276" w:lineRule="auto"/>
      </w:pPr>
      <w:r>
        <w:rPr>
          <w:color w:val="334155"/>
          <w:sz w:val="21"/>
        </w:rPr>
        <w:t xml:space="preserve">    • 12 API Integration Tests: Verifies /health, /api/districts, /api/metrics, /api/stats, /api/history, /api/dispatches, /api/predict_risk (critical and low scenarios), 422 validation errors, /api/forecast_hourly, and /api/dispatch_unit.</w:t>
      </w:r>
    </w:p>
    <w:p>
      <w:pPr>
        <w:spacing w:after="120" w:line="276" w:lineRule="auto"/>
      </w:pPr>
      <w:r>
        <w:rPr>
          <w:color w:val="334155"/>
          <w:sz w:val="21"/>
        </w:rPr>
        <w:t xml:space="preserve">    • 9 PyTorch &amp; ML Unit Tests: Validates DNN model topology (11 modules), forward pass dimensions (B, 4), gradient propagation, weight existence, StandardScaler bounds, and Random Forest classification.</w:t>
      </w:r>
    </w:p>
    <w:p>
      <w:pPr>
        <w:spacing w:after="120" w:line="276" w:lineRule="auto"/>
      </w:pPr>
      <w:r>
        <w:rPr>
          <w:color w:val="334155"/>
          <w:sz w:val="21"/>
        </w:rPr>
        <w:t xml:space="preserve">    • 5 Database Unit Tests: Validates SQLite connection, table schema creation, incident record insertion and retrieval, patrol dispatch logging, and index presence.</w:t>
      </w:r>
    </w:p>
    <w:p>
      <w:pPr>
        <w:spacing w:after="120" w:line="276" w:lineRule="auto"/>
      </w:pPr>
      <w:r>
        <w:rPr>
          <w:color w:val="334155"/>
          <w:sz w:val="21"/>
        </w:rPr>
        <w:t xml:space="preserve">    • 3 Scaffold Audit Tests: Verifies zero syntax errors, package dependencies, and microservice operational readiness.</w:t>
      </w:r>
    </w:p>
    <w:p>
      <w:pPr>
        <w:spacing w:before="360" w:after="120"/>
      </w:pPr>
      <w:r>
        <w:rPr>
          <w:b/>
          <w:color w:val="2563EB"/>
          <w:sz w:val="32"/>
        </w:rPr>
        <w:t>7. Smart City Deployment &amp; Ethical Civil Liberties Considerations</w:t>
      </w:r>
    </w:p>
    <w:p>
      <w:pPr>
        <w:spacing w:after="120" w:line="276" w:lineRule="auto"/>
      </w:pPr>
      <w:r>
        <w:rPr>
          <w:color w:val="334155"/>
          <w:sz w:val="21"/>
        </w:rPr>
        <w:t>Predictive policing algorithms must operate under rigorous constitutional, ethical, and legal safeguards. PROJECT-013 is engineered strictly for spatial resource pre-positioning and situational deterrence—not individual citizen profiling.</w:t>
      </w:r>
    </w:p>
    <w:p>
      <w:pPr>
        <w:spacing w:after="120" w:line="276" w:lineRule="auto"/>
      </w:pPr>
      <w:r>
        <w:rPr>
          <w:color w:val="334155"/>
          <w:sz w:val="21"/>
        </w:rPr>
        <w:t>The model relies exclusively on geographic, environmental, and temporal features, entirely omitting race, ethnicity, socioeconomic status, or personally identifiable information (PII). In future smart city deployments, integration with automated explainability frameworks (SHAP/LIME) and fairness parity audits will ensure transparent, constitutional, and publicly accountable law enforcement operations.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