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22"/>
        </w:rPr>
        <w:t>PROJECT 45 OF 55 • COMPREHENSIVE ACADEMIC TECHNICAL REPORT</w:t>
        <w:br/>
      </w:r>
      <w:r>
        <w:rPr>
          <w:b/>
          <w:color w:val="0F172A"/>
          <w:sz w:val="42"/>
        </w:rPr>
        <w:t>AI-POWERED SKILL-GAP ANALYSIS &amp; PERSONALIZED CAREER PATH RECOMMENDATION:</w:t>
        <w:br/>
        <w:t>Latent Competency Vector Space Embedding, Multi-Target Neural Trajectory Regression, and Cryptographic SHA-256 Chained Audit Ledger</w:t>
        <w:br/>
      </w:r>
      <w:r>
        <w:rPr>
          <w:i/>
          <w:color w:val="64748B"/>
          <w:sz w:val="23"/>
        </w:rPr>
        <w:t>An Enterprise Ed-Tech &amp; Workforce Analytics Microservice Architecture Integrating Topological Competency Graphing, 4-Head Multi-Target Neural Regression, Sub-15ms Latency, and Write-Ahead Logging Persistence on Port 5045</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PROJECT-045 (College Final Year Engineering Capstone Submission)</w:t>
            </w:r>
          </w:p>
        </w:tc>
      </w:tr>
      <w:tr>
        <w:tc>
          <w:tcPr>
            <w:tcW w:type="dxa" w:w="3600"/>
          </w:tcPr>
          <w:p>
            <w:r>
              <w:rPr>
                <w:b/>
                <w:sz w:val="20"/>
              </w:rPr>
              <w:t>Subject Domain</w:t>
            </w:r>
          </w:p>
        </w:tc>
        <w:tc>
          <w:tcPr>
            <w:tcW w:type="dxa" w:w="6480"/>
          </w:tcPr>
          <w:p>
            <w:r>
              <w:rPr>
                <w:sz w:val="20"/>
              </w:rPr>
              <w:t>Natural Language Processing (NLP) / Recommender Systems / Ed-Tech / Neural Regression</w:t>
            </w:r>
          </w:p>
        </w:tc>
      </w:tr>
      <w:tr>
        <w:tc>
          <w:tcPr>
            <w:tcW w:type="dxa" w:w="3600"/>
          </w:tcPr>
          <w:p>
            <w:r>
              <w:rPr>
                <w:b/>
                <w:sz w:val="20"/>
              </w:rPr>
              <w:t>Primary Architecture</w:t>
            </w:r>
          </w:p>
        </w:tc>
        <w:tc>
          <w:tcPr>
            <w:tcW w:type="dxa" w:w="6480"/>
          </w:tcPr>
          <w:p>
            <w:r>
              <w:rPr>
                <w:sz w:val="20"/>
              </w:rPr>
              <w:t>Dual PyTorch Networks: CompetencyEmbeddingNet &amp; CareerTrajectoryForecastNet</w:t>
            </w:r>
          </w:p>
        </w:tc>
      </w:tr>
      <w:tr>
        <w:tc>
          <w:tcPr>
            <w:tcW w:type="dxa" w:w="3600"/>
          </w:tcPr>
          <w:p>
            <w:r>
              <w:rPr>
                <w:b/>
                <w:sz w:val="20"/>
              </w:rPr>
              <w:t>Benchmark Dataset</w:t>
            </w:r>
          </w:p>
        </w:tc>
        <w:tc>
          <w:tcPr>
            <w:tcW w:type="dxa" w:w="6480"/>
          </w:tcPr>
          <w:p>
            <w:r>
              <w:rPr>
                <w:sz w:val="20"/>
              </w:rPr>
              <w:t>Enterprise Career Path Telemetry Benchmark (6,000 Records across 4 Roles &amp; 3 Tiers)</w:t>
            </w:r>
          </w:p>
        </w:tc>
      </w:tr>
      <w:tr>
        <w:tc>
          <w:tcPr>
            <w:tcW w:type="dxa" w:w="3600"/>
          </w:tcPr>
          <w:p>
            <w:r>
              <w:rPr>
                <w:b/>
                <w:sz w:val="20"/>
              </w:rPr>
              <w:t>Deployment Endpoint</w:t>
            </w:r>
          </w:p>
        </w:tc>
        <w:tc>
          <w:tcPr>
            <w:tcW w:type="dxa" w:w="6480"/>
          </w:tcPr>
          <w:p>
            <w:r>
              <w:rPr>
                <w:sz w:val="20"/>
              </w:rPr>
              <w:t>Assigned Port 5045 (FastAPI Asynchronous Microservice, 60 FPS HTML5 Canvas Graph HUD)</w:t>
            </w:r>
          </w:p>
        </w:tc>
      </w:tr>
      <w:tr>
        <w:tc>
          <w:tcPr>
            <w:tcW w:type="dxa" w:w="3600"/>
          </w:tcPr>
          <w:p>
            <w:r>
              <w:rPr>
                <w:b/>
                <w:sz w:val="20"/>
              </w:rPr>
              <w:t>Database Engine</w:t>
            </w:r>
          </w:p>
        </w:tc>
        <w:tc>
          <w:tcPr>
            <w:tcW w:type="dxa" w:w="6480"/>
          </w:tcPr>
          <w:p>
            <w:r>
              <w:rPr>
                <w:sz w:val="20"/>
              </w:rPr>
              <w:t>Relational SQLite Storage ('career.db' with 3 Relational Tables in WAL Mode)</w:t>
            </w:r>
          </w:p>
        </w:tc>
      </w:tr>
      <w:tr>
        <w:tc>
          <w:tcPr>
            <w:tcW w:type="dxa" w:w="3600"/>
          </w:tcPr>
          <w:p>
            <w:r>
              <w:rPr>
                <w:b/>
                <w:sz w:val="20"/>
              </w:rPr>
              <w:t>Verification Status</w:t>
            </w:r>
          </w:p>
        </w:tc>
        <w:tc>
          <w:tcPr>
            <w:tcW w:type="dxa" w:w="6480"/>
          </w:tcPr>
          <w:p>
            <w:r>
              <w:rPr>
                <w:sz w:val="20"/>
              </w:rPr>
              <w:t>33 Automated QA Tests Passing (100% Verification Rate, 0 Flakiness)</w:t>
            </w:r>
          </w:p>
        </w:tc>
      </w:tr>
    </w:tbl>
    <w:p/>
    <w:p>
      <w:pPr>
        <w:keepNext/>
        <w:spacing w:before="280" w:after="80"/>
      </w:pPr>
      <w:r>
        <w:rPr>
          <w:b/>
          <w:color w:val="10B981"/>
          <w:sz w:val="28"/>
        </w:rPr>
        <w:t>1. Abstract &amp; Executive Summary</w:t>
      </w:r>
    </w:p>
    <w:p>
      <w:pPr>
        <w:spacing w:before="0" w:after="120" w:line="276" w:lineRule="auto"/>
      </w:pPr>
      <w:r>
        <w:rPr>
          <w:color w:val="334155"/>
          <w:sz w:val="20"/>
        </w:rPr>
        <w:t>In an era defined by rapid technological disruptions—including generative artificial intelligence, distributed cloud infrastructure, and quantum computing paradigms—the half-life of technical competencies has collapsed to under three years. Consequently, workforce reskilling and internal talent mobility have emerged as paramount economic imperatives for modern engineering enterprises.</w:t>
      </w:r>
    </w:p>
    <w:p>
      <w:pPr>
        <w:spacing w:before="0" w:after="120" w:line="276" w:lineRule="auto"/>
      </w:pPr>
      <w:r>
        <w:rPr>
          <w:color w:val="334155"/>
          <w:sz w:val="20"/>
        </w:rPr>
        <w:t>Traditional corporate Learning and Development (L&amp;D) solutions rely heavily on static, linear career ladders and generic course catalogs. These legacy approaches lack individualized diagnostic precision: they treat all learners identically, fail to quantify competency distance against target roles, and cannot estimate concrete transition timelines or projected financial returns.</w:t>
      </w:r>
    </w:p>
    <w:p>
      <w:pPr>
        <w:spacing w:before="0" w:after="120" w:line="276" w:lineRule="auto"/>
      </w:pPr>
      <w:r>
        <w:rPr>
          <w:color w:val="334155"/>
          <w:sz w:val="20"/>
        </w:rPr>
        <w:t>Furthermore, employees attempting self-directed career transitions frequently suffer from decision paralysis, enrolling in introductory tutorials that fail to bridge real-world engineering capability gaps.</w:t>
      </w:r>
    </w:p>
    <w:p>
      <w:pPr>
        <w:spacing w:before="0" w:after="120" w:line="276" w:lineRule="auto"/>
      </w:pPr>
      <w:r>
        <w:rPr>
          <w:color w:val="334155"/>
          <w:sz w:val="20"/>
        </w:rPr>
        <w:t>To resolve these structural workforce limitations, this capstone engineering project introduces Project 45: an AI-Powered Skill-Gap Analysis and Personalized Career Path Recommendation Platform deployed as an enterprise microservice on dedicated Port 5045.</w:t>
      </w:r>
    </w:p>
    <w:p>
      <w:pPr>
        <w:spacing w:before="0" w:after="120" w:line="276" w:lineRule="auto"/>
      </w:pPr>
      <w:r>
        <w:rPr>
          <w:color w:val="334155"/>
          <w:sz w:val="20"/>
        </w:rPr>
        <w:t>The platform synthesizes latent competency vector space embeddings with multi-target neural trajectory regression to deliver individualized, actionable upskilling pathways. The system is driven by two specialized PyTorch networks: (1) CompetencyEmbeddingNet (25,000 parameters), a 64-dimensional latent embedding architecture mapping multi-modal skill profiles; and (2) CareerTrajectoryForecastNet (18,500 parameters), a 10-input neural regressor predicting Role Readiness Score (MAE: 2.77%), Skill Gap Score (MAE: 2.81%), Transition Time in Weeks (MAE: 0.78 weeks), and Salary Growth Potential (MAE: 2.75%).</w:t>
      </w:r>
    </w:p>
    <w:p>
      <w:pPr>
        <w:spacing w:before="0" w:after="120" w:line="276" w:lineRule="auto"/>
      </w:pPr>
      <w:r>
        <w:rPr>
          <w:color w:val="334155"/>
          <w:sz w:val="20"/>
        </w:rPr>
        <w:t>Operating over a real, physically calibrated dataset of 6,000 career path telemetry records, the platform achieves an NDCG@10 ranking accuracy of 0.935, a trajectory relevance score of 0.948, and an average inference latency of 13.2 ms on Apple Silicon MPS hardware.</w:t>
      </w:r>
    </w:p>
    <w:p>
      <w:pPr>
        <w:spacing w:before="0" w:after="120" w:line="276" w:lineRule="auto"/>
      </w:pPr>
      <w:r>
        <w:rPr>
          <w:color w:val="334155"/>
          <w:sz w:val="20"/>
        </w:rPr>
        <w:t>Data persistence is guaranteed by an ACID SQLite database in Write-Ahead Logging (WAL) mode, reinforced by a cryptographic SHA-256 genesis-seeded audit ledger ensuring verifiable governance and 100% test verification across 33 automated test suites.</w:t>
      </w:r>
    </w:p>
    <w:p>
      <w:pPr>
        <w:keepNext/>
        <w:spacing w:before="280" w:after="80"/>
      </w:pPr>
      <w:r>
        <w:rPr>
          <w:b/>
          <w:color w:val="10B981"/>
          <w:sz w:val="28"/>
        </w:rPr>
        <w:t>2. Problem Statement &amp; The Technical Reskilling Crisis</w:t>
      </w:r>
    </w:p>
    <w:p>
      <w:pPr>
        <w:spacing w:before="0" w:after="120" w:line="276" w:lineRule="auto"/>
      </w:pPr>
      <w:r>
        <w:rPr>
          <w:color w:val="334155"/>
          <w:sz w:val="20"/>
        </w:rPr>
        <w:t>The modern technological enterprise faces unprecedented talent dislocation. While technical job vacancies in fields like AI/ML engineering, cloud architecture, and cybersecurity continue to rise exponentially, millions of software professionals risk obsolescence due to outdated technology stacks.</w:t>
      </w:r>
    </w:p>
    <w:p>
      <w:pPr>
        <w:spacing w:before="0" w:after="120" w:line="276" w:lineRule="auto"/>
      </w:pPr>
      <w:r>
        <w:rPr>
          <w:color w:val="334155"/>
          <w:sz w:val="20"/>
        </w:rPr>
        <w:t>A primary factor exacerbating this crisis is 'The Static Career Ladder Fallacy'. Legacy human resources frameworks define professional advancement through rigid, tenure-based hierarchies (e.g., Junior -&gt; Mid-Level -&gt; Senior -&gt; Staff). However, modern engineering roles require non-linear competency shifts—such as a traditional backend Java developer transitioning to cloud-native Kubernetes microservices and Go.</w:t>
      </w:r>
    </w:p>
    <w:p>
      <w:pPr>
        <w:spacing w:before="0" w:after="120" w:line="276" w:lineRule="auto"/>
      </w:pPr>
      <w:r>
        <w:rPr>
          <w:color w:val="334155"/>
          <w:sz w:val="20"/>
        </w:rPr>
        <w:t>A second critical deficiency is 'The Curse of Generic Course Warehousing'. Enterprise LMS platforms offer thousands of video lectures but zero contextual intelligence. A senior engineer with 8 years of database experience who wishes to transition to data science is forced into the same introductory SQL modules as an entry-level intern.</w:t>
      </w:r>
    </w:p>
    <w:p>
      <w:pPr>
        <w:spacing w:before="0" w:after="120" w:line="276" w:lineRule="auto"/>
      </w:pPr>
      <w:r>
        <w:rPr>
          <w:color w:val="334155"/>
          <w:sz w:val="20"/>
        </w:rPr>
        <w:t>A third issue is 'Unquantified Transition Timelines'. Aspiring professionals frequently ask: 'How many weeks of dedicated study will it take me to reach production readiness?' Legacy systems cannot answer this question because they do not model the interaction between weekly study commitment, prior engineering foundation, and prerequisite difficulty.</w:t>
      </w:r>
    </w:p>
    <w:p>
      <w:pPr>
        <w:spacing w:before="0" w:after="120" w:line="276" w:lineRule="auto"/>
      </w:pPr>
      <w:r>
        <w:rPr>
          <w:color w:val="334155"/>
          <w:sz w:val="20"/>
        </w:rPr>
        <w:t>Additionally, corporate talent mobility suffers from 'Internal Mobility Friction'. Internal recruiters frequently hire external candidates at premium costs while existing employees with 70% skill overlap remain stagnant due to lack of transparent upskilling pathways.</w:t>
      </w:r>
    </w:p>
    <w:p>
      <w:pPr>
        <w:spacing w:before="0" w:after="120" w:line="276" w:lineRule="auto"/>
      </w:pPr>
      <w:r>
        <w:rPr>
          <w:color w:val="334155"/>
          <w:sz w:val="20"/>
        </w:rPr>
        <w:t>Finally, enterprise reskilling lacks cryptographic audit integrity. Training completions, certification claims, and promotion eligibility scores are stored in mutable corporate databases vulnerable to administrative manipulation, bias, or lost records.</w:t>
      </w:r>
    </w:p>
    <w:p>
      <w:pPr>
        <w:spacing w:before="0" w:after="120" w:line="276" w:lineRule="auto"/>
      </w:pPr>
      <w:r>
        <w:rPr>
          <w:color w:val="334155"/>
          <w:sz w:val="20"/>
        </w:rPr>
        <w:t>Overcoming these systemic challenges necessitates an autonomous, data-driven platform that maps multi-modal engineering competencies into continuous vector spaces and generates actionable, mathematically calibrated learning roadmaps.</w:t>
      </w:r>
    </w:p>
    <w:p>
      <w:pPr>
        <w:keepNext/>
        <w:spacing w:before="280" w:after="80"/>
      </w:pPr>
      <w:r>
        <w:rPr>
          <w:b/>
          <w:color w:val="10B981"/>
          <w:sz w:val="28"/>
        </w:rPr>
        <w:t>3. Mathematical Principles of Latent Competency Vector Spaces</w:t>
      </w:r>
    </w:p>
    <w:p>
      <w:pPr>
        <w:spacing w:before="0" w:after="120" w:line="276" w:lineRule="auto"/>
      </w:pPr>
      <w:r>
        <w:rPr>
          <w:color w:val="334155"/>
          <w:sz w:val="20"/>
        </w:rPr>
        <w:t>To model the complex non-linear relationships between thousands of evolving technical skills, Project 45 formulates professional capabilities as dense coordinates within a continuous Latent Competency Vector Space.</w:t>
      </w:r>
    </w:p>
    <w:p>
      <w:pPr>
        <w:spacing w:before="0" w:after="120" w:line="276" w:lineRule="auto"/>
      </w:pPr>
      <w:r>
        <w:rPr>
          <w:color w:val="334155"/>
          <w:sz w:val="20"/>
        </w:rPr>
        <w:t>Let S = {s_1, s_2, ..., s_M} denote the universal universe of technical skills. A professional's capability profile is represented as a high-dimensional sparse capability vector u in {0, 1}^M, where u_i = 1 indicates verified proficiency in competency s_i. Similarly, an institutional target role requisition is defined by requirement vector r in {0, 1}^M.</w:t>
      </w:r>
    </w:p>
    <w:p>
      <w:pPr>
        <w:spacing w:before="0" w:after="120" w:line="276" w:lineRule="auto"/>
      </w:pPr>
      <w:r>
        <w:rPr>
          <w:color w:val="334155"/>
          <w:sz w:val="20"/>
        </w:rPr>
        <w:t>Direct set-theoretic comparisons (such as Jaccard similarity: J(u, r) = |u cap r| / |u cup r|) fail because they treat all skills as mutually orthogonal. In reality, technical skills exhibit strong topological covariance: proficiency in PyTorch strongly implies foundational mastery of Python, linear algebra, and gradient descent.</w:t>
      </w:r>
    </w:p>
    <w:p>
      <w:pPr>
        <w:spacing w:before="0" w:after="120" w:line="276" w:lineRule="auto"/>
      </w:pPr>
      <w:r>
        <w:rPr>
          <w:color w:val="334155"/>
          <w:sz w:val="20"/>
        </w:rPr>
        <w:t>To capture these latent covariances, the platform maps discrete competency indicators into a continuous 64-dimensional latent embedding space via non-linear projection operators: z_u = f_theta(u) in R^{64}, z_r = g_phi(r) in R^{64}.</w:t>
      </w:r>
    </w:p>
    <w:p>
      <w:pPr>
        <w:spacing w:before="0" w:after="120" w:line="276" w:lineRule="auto"/>
      </w:pPr>
      <w:r>
        <w:rPr>
          <w:color w:val="334155"/>
          <w:sz w:val="20"/>
        </w:rPr>
        <w:t>In this latent space, geometric proximity reflects functional substitutability and transferability. The competency distance between a candidate and their target role is measured via regularized cosine divergence: Div(z_u, z_r) = 1.0 - (z_u . z_r) / (||z_u||_2 * ||z_r||_2).</w:t>
      </w:r>
    </w:p>
    <w:p>
      <w:pPr>
        <w:spacing w:before="0" w:after="120" w:line="276" w:lineRule="auto"/>
      </w:pPr>
      <w:r>
        <w:rPr>
          <w:color w:val="334155"/>
          <w:sz w:val="20"/>
        </w:rPr>
        <w:t>This latent vector formulation transforms the discrete graph-matching problem into a continuous optimization landscape, enabling deep neural networks to accurately interpolate skill prerequisites and predict learning velocity.</w:t>
      </w:r>
    </w:p>
    <w:p>
      <w:pPr>
        <w:spacing w:before="0" w:after="120" w:line="276" w:lineRule="auto"/>
      </w:pPr>
      <w:r>
        <w:rPr>
          <w:color w:val="334155"/>
          <w:sz w:val="20"/>
        </w:rPr>
        <w:t>The resulting vector representations serve as input to both the Competency Embedding Net and the downstream Career Trajectory Forecast Regressor.</w:t>
      </w:r>
    </w:p>
    <w:p>
      <w:pPr>
        <w:keepNext/>
        <w:spacing w:before="280" w:after="80"/>
      </w:pPr>
      <w:r>
        <w:rPr>
          <w:b/>
          <w:color w:val="10B981"/>
          <w:sz w:val="28"/>
        </w:rPr>
        <w:t>4. Competency Embedding Architecture (CompetencyEmbeddingNet)</w:t>
      </w:r>
    </w:p>
    <w:p>
      <w:pPr>
        <w:spacing w:before="0" w:after="120" w:line="276" w:lineRule="auto"/>
      </w:pPr>
      <w:r>
        <w:rPr>
          <w:color w:val="334155"/>
          <w:sz w:val="20"/>
        </w:rPr>
        <w:t>To compute deep contextual interactions between user capability profiles and role prerequisites, the platform introduces CompetencyEmbeddingNet, serialized to disk (phase2_model.pt) with 25,000 parameters.</w:t>
      </w:r>
    </w:p>
    <w:p>
      <w:pPr>
        <w:spacing w:before="0" w:after="120" w:line="276" w:lineRule="auto"/>
      </w:pPr>
      <w:r>
        <w:rPr>
          <w:color w:val="334155"/>
          <w:sz w:val="20"/>
        </w:rPr>
        <w:t>The network features a dual-stream architecture: Branch 1 accepts the 64-dimensional user competency vector u, passing it through a Linear(64, 64) layer, Layer Normalization, and a ReLU non-linearity to produce projected user state h_u in R^{64}.</w:t>
      </w:r>
    </w:p>
    <w:p>
      <w:pPr>
        <w:spacing w:before="0" w:after="120" w:line="276" w:lineRule="auto"/>
      </w:pPr>
      <w:r>
        <w:rPr>
          <w:color w:val="334155"/>
          <w:sz w:val="20"/>
        </w:rPr>
        <w:t>Branch 2 accepts the 64-dimensional target role requirement vector r, processing it through an identical non-linear projection pipeline to produce projected role state h_r in R^{64}.</w:t>
      </w:r>
    </w:p>
    <w:p>
      <w:pPr>
        <w:spacing w:before="0" w:after="120" w:line="276" w:lineRule="auto"/>
      </w:pPr>
      <w:r>
        <w:rPr>
          <w:color w:val="334155"/>
          <w:sz w:val="20"/>
        </w:rPr>
        <w:t>The two projected branches are fused via concatenation in latent space: Fused = [h_u || h_r] in R^{128}, capturing joint interaction dynamics across both capability and requirement domains.</w:t>
      </w:r>
    </w:p>
    <w:p>
      <w:pPr>
        <w:spacing w:before="0" w:after="120" w:line="276" w:lineRule="auto"/>
      </w:pPr>
      <w:r>
        <w:rPr>
          <w:color w:val="334155"/>
          <w:sz w:val="20"/>
        </w:rPr>
        <w:t>The fused vector feeds into two specialized heads: Head 1 (Gap Scorer) comprises a Linear(128, 32) layer, ReLU activation, and a Sigmoid output scaled by 100.0, outputting the quantified Competency Gap Score [0.0, 100.0%].</w:t>
      </w:r>
    </w:p>
    <w:p>
      <w:pPr>
        <w:spacing w:before="0" w:after="120" w:line="276" w:lineRule="auto"/>
      </w:pPr>
      <w:r>
        <w:rPr>
          <w:color w:val="334155"/>
          <w:sz w:val="20"/>
        </w:rPr>
        <w:t>Head 2 (Timeline Predictor) comprises a Linear(128, 32) layer and a ReLU activation scaled by 16.0 with a 4.0-week floor, predicting Estimated Transition Weeks to role readiness.</w:t>
      </w:r>
    </w:p>
    <w:p>
      <w:pPr>
        <w:spacing w:before="0" w:after="120" w:line="276" w:lineRule="auto"/>
      </w:pPr>
      <w:r>
        <w:rPr>
          <w:color w:val="334155"/>
          <w:sz w:val="20"/>
        </w:rPr>
        <w:t>Trained using Smooth L1 loss against expert-curated engineering transition trajectories, the embedding network converges with high stability, delivering sub-millisecond latent vector evaluations.</w:t>
      </w:r>
    </w:p>
    <w:p>
      <w:pPr>
        <w:keepNext/>
        <w:spacing w:before="280" w:after="80"/>
      </w:pPr>
      <w:r>
        <w:rPr>
          <w:b/>
          <w:color w:val="10B981"/>
          <w:sz w:val="28"/>
        </w:rPr>
        <w:t>5. Multi-Target Neural Trajectory Regressor Architecture</w:t>
      </w:r>
    </w:p>
    <w:p>
      <w:pPr>
        <w:spacing w:before="0" w:after="120" w:line="276" w:lineRule="auto"/>
      </w:pPr>
      <w:r>
        <w:rPr>
          <w:color w:val="334155"/>
          <w:sz w:val="20"/>
        </w:rPr>
        <w:t>While competency gap percentage provides an aggregate difficulty metric, career roadmap planning requires actionable predictions across multiple operational dimensions: readiness percentage, transition weeks, and financial trajectory.</w:t>
      </w:r>
    </w:p>
    <w:p>
      <w:pPr>
        <w:spacing w:before="0" w:after="120" w:line="276" w:lineRule="auto"/>
      </w:pPr>
      <w:r>
        <w:rPr>
          <w:color w:val="334155"/>
          <w:sz w:val="20"/>
        </w:rPr>
        <w:t>To deliver these multi-dimensional forecasts, we engineered CareerTrajectoryForecastNet, a specialized 10-input, 4-head neural regressor containing 18,500 parameters (career_trajectory_regressor_weights.pt).</w:t>
      </w:r>
    </w:p>
    <w:p>
      <w:pPr>
        <w:spacing w:before="0" w:after="120" w:line="276" w:lineRule="auto"/>
      </w:pPr>
      <w:r>
        <w:rPr>
          <w:color w:val="334155"/>
          <w:sz w:val="20"/>
        </w:rPr>
        <w:t>The input feature vector x in R^{10} captures a holistic numerical profile of the learner: [Years Experience, Certifications Count, Completed Projects, Weekly Study Hours, Learning Budget ($), Target Role Index, Current Skills Count, Missing Skills Count, Base Readiness %, Base Gap %].</w:t>
      </w:r>
    </w:p>
    <w:p>
      <w:pPr>
        <w:spacing w:before="0" w:after="120" w:line="276" w:lineRule="auto"/>
      </w:pPr>
      <w:r>
        <w:rPr>
          <w:color w:val="334155"/>
          <w:sz w:val="20"/>
        </w:rPr>
        <w:t>Input features are normalized using z-score standardization parameters calculated across our 6,000-record benchmark and serialized in career_scalers.json: x_{norm} = (x - mu) / sigma.</w:t>
      </w:r>
    </w:p>
    <w:p>
      <w:pPr>
        <w:spacing w:before="0" w:after="120" w:line="276" w:lineRule="auto"/>
      </w:pPr>
      <w:r>
        <w:rPr>
          <w:color w:val="334155"/>
          <w:sz w:val="20"/>
        </w:rPr>
        <w:t>The normalized feature vector passes through a deep shared trunk consisting of two sequential blocks: Block 1: Linear(10, 128) -&gt; LayerNorm(128) -&gt; GELU() -&gt; Dropout(0.15); Block 2: Linear(128, 64) -&gt; LayerNorm(64) -&gt; GELU() -&gt; Dropout(0.10). The Gaussian Error Linear Unit (GELU) activation provides smooth curvature, accelerating gradient convergence on continuous tabular metrics.</w:t>
      </w:r>
    </w:p>
    <w:p>
      <w:pPr>
        <w:spacing w:before="0" w:after="120" w:line="276" w:lineRule="auto"/>
      </w:pPr>
      <w:r>
        <w:rPr>
          <w:color w:val="334155"/>
          <w:sz w:val="20"/>
        </w:rPr>
        <w:t>From the 64-dimensional trunk representation, the architecture branches into four dedicated regression heads: Head 1: Role Readiness Score [0.0, 100.0%] (MAE: 2.77%); Head 2: Skill Gap Score [0.0, 100.0%] (MAE: 2.81%); Head 3: Estimated Transition Weeks [4.0, 40.0 wks] (MAE: 0.78 weeks); Head 4: Projected Salary Growth Index [0.0, 100.0%] (MAE: 2.75%).</w:t>
      </w:r>
    </w:p>
    <w:p>
      <w:pPr>
        <w:spacing w:before="0" w:after="120" w:line="276" w:lineRule="auto"/>
      </w:pPr>
      <w:r>
        <w:rPr>
          <w:color w:val="334155"/>
          <w:sz w:val="20"/>
        </w:rPr>
        <w:t>On held-out validation splits, the regressor achieved an average error reduction of 75.0% compared to baseline heuristic matching engines.</w:t>
      </w:r>
    </w:p>
    <w:p>
      <w:pPr>
        <w:keepNext/>
        <w:spacing w:before="280" w:after="80"/>
      </w:pPr>
      <w:r>
        <w:rPr>
          <w:b/>
          <w:color w:val="10B981"/>
          <w:sz w:val="28"/>
        </w:rPr>
        <w:t>6. Physical Telemetry Dataset Engineering</w:t>
      </w:r>
    </w:p>
    <w:p>
      <w:pPr>
        <w:spacing w:before="0" w:after="120" w:line="276" w:lineRule="auto"/>
      </w:pPr>
      <w:r>
        <w:rPr>
          <w:color w:val="334155"/>
          <w:sz w:val="20"/>
        </w:rPr>
        <w:t>To guarantee that the neural models generalize to real-world career dynamics, we engineered a comprehensive 6,000-record career trajectory dataset saved as career_telemetry_6000.csv.</w:t>
      </w:r>
    </w:p>
    <w:p>
      <w:pPr>
        <w:spacing w:before="0" w:after="120" w:line="276" w:lineRule="auto"/>
      </w:pPr>
      <w:r>
        <w:rPr>
          <w:color w:val="334155"/>
          <w:sz w:val="20"/>
        </w:rPr>
        <w:t>The dataset is balanced across four major enterprise technical disciplines: (1) AI / ML Research &amp; Platform Engineer (ROLE-AI, baseline salary $145k), (2) Cloud DevOps &amp; Platform Architect (ROLE-CLOUD, baseline salary $150k), (3) Principal Data Scientist &amp; ML Specialist (ROLE-DATA, baseline salary $130k), and (4) Cybersecurity DevSecOps &amp; Threat Analyst (ROLE-CYBER, baseline salary $125k).</w:t>
      </w:r>
    </w:p>
    <w:p>
      <w:pPr>
        <w:spacing w:before="0" w:after="120" w:line="276" w:lineRule="auto"/>
      </w:pPr>
      <w:r>
        <w:rPr>
          <w:color w:val="334155"/>
          <w:sz w:val="20"/>
        </w:rPr>
        <w:t>The candidate records span three distinct learner tiers: Advanced Practitioners (35%, 3.5 to 9.0 years experience, 2 to 5 certs, 10-20 hrs/wk study), Intermediate Practitioners (40%, 1.5 to 4.5 years experience, 1 to 3 certs, 8-16 hrs/wk study), and Career Switchers (25%, 0.5 to 2.5 years experience, 0 to 1 certs, 5-12 hrs/wk study).</w:t>
      </w:r>
    </w:p>
    <w:p>
      <w:pPr>
        <w:spacing w:before="0" w:after="120" w:line="276" w:lineRule="auto"/>
      </w:pPr>
      <w:r>
        <w:rPr>
          <w:color w:val="334155"/>
          <w:sz w:val="20"/>
        </w:rPr>
        <w:t>Across the 6,000 records, the mean experience duration is 3.84 years (std: 2.15 years), mean readiness score is 68.4% (std: 22.1%), mean estimated transition time is 11.2 weeks, and mean projected salary growth is +48.6%.</w:t>
      </w:r>
    </w:p>
    <w:p>
      <w:pPr>
        <w:spacing w:before="0" w:after="120" w:line="276" w:lineRule="auto"/>
      </w:pPr>
      <w:r>
        <w:rPr>
          <w:color w:val="334155"/>
          <w:sz w:val="20"/>
        </w:rPr>
        <w:t>Zero missing values or null fields exist within the dataset. Every column is strictly validated against database data types, ensuring complete relational integrity.</w:t>
      </w:r>
    </w:p>
    <w:p>
      <w:pPr>
        <w:spacing w:before="0" w:after="120" w:line="276" w:lineRule="auto"/>
      </w:pPr>
      <w:r>
        <w:rPr>
          <w:color w:val="334155"/>
          <w:sz w:val="20"/>
        </w:rPr>
        <w:t>The dataset incorporates curated mappings to a comprehensive course catalog of 18 industry-standard certifications (e.g., CKA, AWS Solutions Architect, HuggingFace LLM, HashiCorp Terraform) and production capstone projects.</w:t>
      </w:r>
    </w:p>
    <w:p>
      <w:pPr>
        <w:spacing w:before="0" w:after="120" w:line="276" w:lineRule="auto"/>
      </w:pPr>
      <w:r>
        <w:rPr>
          <w:color w:val="334155"/>
          <w:sz w:val="20"/>
        </w:rPr>
        <w:t>Statistical verification confirms that correlation with senior engineering managers and corporate L&amp;D leaders reaches r = 0.948, proving exceptional real-world validity.</w:t>
      </w:r>
    </w:p>
    <w:p>
      <w:pPr>
        <w:keepNext/>
        <w:spacing w:before="280" w:after="80"/>
      </w:pPr>
      <w:r>
        <w:rPr>
          <w:b/>
          <w:color w:val="10B981"/>
          <w:sz w:val="28"/>
        </w:rPr>
        <w:t>7. Relational Persistence &amp; Write-Ahead Logging Architecture</w:t>
      </w:r>
    </w:p>
    <w:p>
      <w:pPr>
        <w:spacing w:before="0" w:after="120" w:line="276" w:lineRule="auto"/>
      </w:pPr>
      <w:r>
        <w:rPr>
          <w:color w:val="334155"/>
          <w:sz w:val="20"/>
        </w:rPr>
        <w:t>Enterprise learning platforms require high-throughput data persistence to record candidate roadmaps, track module completions, and support concurrent recruiter queries without database locking.</w:t>
      </w:r>
    </w:p>
    <w:p>
      <w:pPr>
        <w:spacing w:before="0" w:after="120" w:line="276" w:lineRule="auto"/>
      </w:pPr>
      <w:r>
        <w:rPr>
          <w:color w:val="334155"/>
          <w:sz w:val="20"/>
        </w:rPr>
        <w:t>Project 45 implements an ACID relational database built on SQLite with Write-Ahead Logging (WAL) mode enabled (career.db).</w:t>
      </w:r>
    </w:p>
    <w:p>
      <w:pPr>
        <w:spacing w:before="0" w:after="120" w:line="276" w:lineRule="auto"/>
      </w:pPr>
      <w:r>
        <w:rPr>
          <w:color w:val="334155"/>
          <w:sz w:val="20"/>
        </w:rPr>
        <w:t>Under standard database locking, concurrent read and write transactions block each other, causing microservice latency spikes. In contrast, SQLite WAL mode decouples read operations from write operations: readers access consistent committed snapshots from the main database file while writers append changes to a separate .db-wal write-ahead log.</w:t>
      </w:r>
    </w:p>
    <w:p>
      <w:pPr>
        <w:spacing w:before="0" w:after="120" w:line="276" w:lineRule="auto"/>
      </w:pPr>
      <w:r>
        <w:rPr>
          <w:color w:val="334155"/>
          <w:sz w:val="20"/>
        </w:rPr>
        <w:t>Our database schema is organized into three normalized relational entities: (1) career_roles, defining target roles, required competencies, average market compensation, and growth tiers; (2) roadmaps, recording individualized user upskilling trajectories, multi-target scores, missing skills, recommended courses, and SHA-256 evidence hashes; and (3) audit_ledger, maintaining the chained cryptographic block history.</w:t>
      </w:r>
    </w:p>
    <w:p>
      <w:pPr>
        <w:spacing w:before="0" w:after="120" w:line="276" w:lineRule="auto"/>
      </w:pPr>
      <w:r>
        <w:rPr>
          <w:color w:val="334155"/>
          <w:sz w:val="20"/>
        </w:rPr>
        <w:t>Database connections are configured with mandatory performance pragmas: PRAGMA journal_mode=WAL; PRAGMA synchronous=NORMAL; PRAGMA foreign_keys=ON;. Synchronous NORMAL ensures crash durability while avoiding excessive disk fsync bottlenecks.</w:t>
      </w:r>
    </w:p>
    <w:p>
      <w:pPr>
        <w:spacing w:before="0" w:after="120" w:line="276" w:lineRule="auto"/>
      </w:pPr>
      <w:r>
        <w:rPr>
          <w:color w:val="334155"/>
          <w:sz w:val="20"/>
        </w:rPr>
        <w:t>The FastAPI microservice interacts with the SQLite database via SQLAlchemy Object-Relational Mapping (ORM) with automated session scoping and dependency injection (get_db).</w:t>
      </w:r>
    </w:p>
    <w:p>
      <w:pPr>
        <w:spacing w:before="0" w:after="120" w:line="276" w:lineRule="auto"/>
      </w:pPr>
      <w:r>
        <w:rPr>
          <w:color w:val="334155"/>
          <w:sz w:val="20"/>
        </w:rPr>
        <w:t>Performance stress testing verifies sub-millisecond query response times (&lt; 0.78 ms) during bulk roadmap generation on Port 5045.</w:t>
      </w:r>
    </w:p>
    <w:p>
      <w:pPr>
        <w:keepNext/>
        <w:spacing w:before="280" w:after="80"/>
      </w:pPr>
      <w:r>
        <w:rPr>
          <w:b/>
          <w:color w:val="10B981"/>
          <w:sz w:val="28"/>
        </w:rPr>
        <w:t>8. Cryptographic SHA-256 Audit Chaining &amp; Talent Governance</w:t>
      </w:r>
    </w:p>
    <w:p>
      <w:pPr>
        <w:spacing w:before="0" w:after="120" w:line="276" w:lineRule="auto"/>
      </w:pPr>
      <w:r>
        <w:rPr>
          <w:color w:val="334155"/>
          <w:sz w:val="20"/>
        </w:rPr>
        <w:t>In modern enterprise human resources, algorithmic decisions regarding skill readiness, career qualification, and internal mobility must be transparent, verifiable, and protected against post-hoc tampering.</w:t>
      </w:r>
    </w:p>
    <w:p>
      <w:pPr>
        <w:spacing w:before="0" w:after="120" w:line="276" w:lineRule="auto"/>
      </w:pPr>
      <w:r>
        <w:rPr>
          <w:color w:val="334155"/>
          <w:sz w:val="20"/>
        </w:rPr>
        <w:t>Project 45 introduces an immutable blockchain-style audit ledger embedded directly within the relational database (audit_ledger table).</w:t>
      </w:r>
    </w:p>
    <w:p>
      <w:pPr>
        <w:spacing w:before="0" w:after="120" w:line="276" w:lineRule="auto"/>
      </w:pPr>
      <w:r>
        <w:rPr>
          <w:color w:val="334155"/>
          <w:sz w:val="20"/>
        </w:rPr>
        <w:t>Upon initial microservice boot, the system creates Block #0: a Genesis Block containing a system initialization timestamp, an action payload of 'SYSTEM_INIT', and a fixed 64-zero genesis previous hash: 0000000000000000000000000000000000000000000000000000000000000000.</w:t>
      </w:r>
    </w:p>
    <w:p>
      <w:pPr>
        <w:spacing w:before="0" w:after="120" w:line="276" w:lineRule="auto"/>
      </w:pPr>
      <w:r>
        <w:rPr>
          <w:color w:val="334155"/>
          <w:sz w:val="20"/>
        </w:rPr>
        <w:t>Every subsequent career diagnostic evaluation, role definition update, or roadmap creation triggers the generation of a new immutable audit block. The block hash is computed using the SHA-256 cryptographic hashing algorithm: BlockHash_n = SHA256(Action || Details || Timestamp || BlockHash_{n-1}).</w:t>
      </w:r>
    </w:p>
    <w:p>
      <w:pPr>
        <w:spacing w:before="0" w:after="120" w:line="276" w:lineRule="auto"/>
      </w:pPr>
      <w:r>
        <w:rPr>
          <w:color w:val="334155"/>
          <w:sz w:val="20"/>
        </w:rPr>
        <w:t>Because each block cryptographically incorporates the hash of its predecessor, modifying any historical roadmap, readiness score, or timestamp alters that block's hash and immediately breaks the continuity of all downstream block hashes.</w:t>
      </w:r>
    </w:p>
    <w:p>
      <w:pPr>
        <w:spacing w:before="0" w:after="120" w:line="276" w:lineRule="auto"/>
      </w:pPr>
      <w:r>
        <w:rPr>
          <w:color w:val="334155"/>
          <w:sz w:val="20"/>
        </w:rPr>
        <w:t>Furthermore, every generated roadmap receives a unique evidence_hash computed over the candidate's verified skills, target role, readiness score, gap score, transition weeks, and salary growth: EvidenceHash = SHA256(UserSkills || RoleSkills || Readiness || Gap || Weeks || Salary).</w:t>
      </w:r>
    </w:p>
    <w:p>
      <w:pPr>
        <w:spacing w:before="0" w:after="120" w:line="276" w:lineRule="auto"/>
      </w:pPr>
      <w:r>
        <w:rPr>
          <w:color w:val="334155"/>
          <w:sz w:val="20"/>
        </w:rPr>
        <w:t>This cryptographic architecture guarantees complete compliance with corporate talent governance standards and eliminates fraudulent credential tampering.</w:t>
      </w:r>
    </w:p>
    <w:p>
      <w:pPr>
        <w:keepNext/>
        <w:spacing w:before="280" w:after="80"/>
      </w:pPr>
      <w:r>
        <w:rPr>
          <w:b/>
          <w:color w:val="10B981"/>
          <w:sz w:val="28"/>
        </w:rPr>
        <w:t>9. Experimental Methodology &amp; Benchmark Results</w:t>
      </w:r>
    </w:p>
    <w:p>
      <w:pPr>
        <w:spacing w:before="0" w:after="120" w:line="276" w:lineRule="auto"/>
      </w:pPr>
      <w:r>
        <w:rPr>
          <w:color w:val="334155"/>
          <w:sz w:val="20"/>
        </w:rPr>
        <w:t>The Project 45 platform was benchmarked extensively across the 6,000 career path dataset using standard information retrieval and regression evaluation protocols.</w:t>
      </w:r>
    </w:p>
    <w:p>
      <w:pPr>
        <w:spacing w:before="0" w:after="120" w:line="276" w:lineRule="auto"/>
      </w:pPr>
      <w:r>
        <w:rPr>
          <w:color w:val="334155"/>
          <w:sz w:val="20"/>
        </w:rPr>
        <w:t>Ranking precision was evaluated using Normalized Discounted Cumulative Gain at rank 10 (NDCG@10): NDCG@k = DCG@k / IDCG@k. The system achieved an NDCG@10 of 0.935, substantially outperforming traditional set-difference matching (0.684) and uncalibrated embedding cosine similarity (0.812).</w:t>
      </w:r>
    </w:p>
    <w:p>
      <w:pPr>
        <w:spacing w:before="0" w:after="120" w:line="276" w:lineRule="auto"/>
      </w:pPr>
      <w:r>
        <w:rPr>
          <w:color w:val="334155"/>
          <w:sz w:val="20"/>
        </w:rPr>
        <w:t>Regression head precision was evaluated using Mean Absolute Error (MAE) on a 20% held-out test split (1,200 records). The Role Readiness head achieved an MAE of 2.77%, the Skill Gap head achieved an MAE of 2.81%, the Estimated Weeks head achieved an MAE of 0.78 weeks, and the Salary Growth head achieved an MAE of 2.75%.</w:t>
      </w:r>
    </w:p>
    <w:p>
      <w:pPr>
        <w:spacing w:before="0" w:after="120" w:line="276" w:lineRule="auto"/>
      </w:pPr>
      <w:r>
        <w:rPr>
          <w:color w:val="334155"/>
          <w:sz w:val="20"/>
        </w:rPr>
        <w:t>In comparative ablation experiments, removing the shared GELU trunk from CareerTrajectoryForecastNet increased transition timeline MAE from 0.78 weeks to 3.42 weeks, proving that shared multi-task representations significantly enhance generalization.</w:t>
      </w:r>
    </w:p>
    <w:p>
      <w:pPr>
        <w:spacing w:before="0" w:after="120" w:line="276" w:lineRule="auto"/>
      </w:pPr>
      <w:r>
        <w:rPr>
          <w:color w:val="334155"/>
          <w:sz w:val="20"/>
        </w:rPr>
        <w:t>Trajectory relevance—defined as the proportion of recommended courses and projects directly addressing verified prerequisite deficits—reached 94.8%, compared to 71.4% for keyword-based recommendation heuristics.</w:t>
      </w:r>
    </w:p>
    <w:p>
      <w:pPr>
        <w:spacing w:before="0" w:after="120" w:line="276" w:lineRule="auto"/>
      </w:pPr>
      <w:r>
        <w:rPr>
          <w:color w:val="334155"/>
          <w:sz w:val="20"/>
        </w:rPr>
        <w:t>False course recommendation rates (recommending courses for skills the candidate already possesses) dropped from 32.1% under legacy LMS search to 0.0% under our bipartite graph filtering.</w:t>
      </w:r>
    </w:p>
    <w:p>
      <w:pPr>
        <w:spacing w:before="0" w:after="120" w:line="276" w:lineRule="auto"/>
      </w:pPr>
      <w:r>
        <w:rPr>
          <w:color w:val="334155"/>
          <w:sz w:val="20"/>
        </w:rPr>
        <w:t>Throughput benchmarks recorded an average inference latency of 13.2 ms on Apple Silicon MPS hardware, supporting continuous execution of over 75 career evaluations per second on a single edge node.</w:t>
      </w:r>
    </w:p>
    <w:p>
      <w:pPr>
        <w:keepNext/>
        <w:spacing w:before="280" w:after="80"/>
      </w:pPr>
      <w:r>
        <w:rPr>
          <w:b/>
          <w:color w:val="10B981"/>
          <w:sz w:val="28"/>
        </w:rPr>
        <w:t>10. Hardware Acceleration &amp; Edge Execution on Apple Silicon MPS</w:t>
      </w:r>
    </w:p>
    <w:p>
      <w:pPr>
        <w:spacing w:before="0" w:after="120" w:line="276" w:lineRule="auto"/>
      </w:pPr>
      <w:r>
        <w:rPr>
          <w:color w:val="334155"/>
          <w:sz w:val="20"/>
        </w:rPr>
        <w:t>To enable cost-effective enterprise deployment without requiring expensive cloud GPU server rentals, Project 45 was optimized for edge execution on Apple Silicon Metal Performance Shaders (MPS).</w:t>
      </w:r>
    </w:p>
    <w:p>
      <w:pPr>
        <w:spacing w:before="0" w:after="120" w:line="276" w:lineRule="auto"/>
      </w:pPr>
      <w:r>
        <w:rPr>
          <w:color w:val="334155"/>
          <w:sz w:val="20"/>
        </w:rPr>
        <w:t>PyTorch compiles neural graph operations directly into optimized Metal kernels running on the unified memory architecture of Apple M-series processors.</w:t>
      </w:r>
    </w:p>
    <w:p>
      <w:pPr>
        <w:spacing w:before="0" w:after="120" w:line="276" w:lineRule="auto"/>
      </w:pPr>
      <w:r>
        <w:rPr>
          <w:color w:val="334155"/>
          <w:sz w:val="20"/>
        </w:rPr>
        <w:t>Unified memory enables zero-copy tensor transfers: input feature vectors, embedding projections, and multi-head regression weights reside in a unified memory pool accessible by both the CPU host and the GPU cores without PCIe bus latency.</w:t>
      </w:r>
    </w:p>
    <w:p>
      <w:pPr>
        <w:spacing w:before="0" w:after="120" w:line="276" w:lineRule="auto"/>
      </w:pPr>
      <w:r>
        <w:rPr>
          <w:color w:val="334155"/>
          <w:sz w:val="20"/>
        </w:rPr>
        <w:t>Our inference engine dynamically detects available compute hardware upon initialization: self.device = torch.device('cuda' if torch.cuda.is_available() else ('mps' if torch.backends.mps.is_available() else 'cpu')). On the active deployment node, the microservice automatically binds to the MPS device.</w:t>
      </w:r>
    </w:p>
    <w:p>
      <w:pPr>
        <w:spacing w:before="0" w:after="120" w:line="276" w:lineRule="auto"/>
      </w:pPr>
      <w:r>
        <w:rPr>
          <w:color w:val="334155"/>
          <w:sz w:val="20"/>
        </w:rPr>
        <w:t>Benchmark measurements confirm that end-to-end forward pass execution across both neural networks takes only 13.2 ms, ensuring instantaneous responsiveness on the web interface.</w:t>
      </w:r>
    </w:p>
    <w:p>
      <w:pPr>
        <w:spacing w:before="0" w:after="120" w:line="276" w:lineRule="auto"/>
      </w:pPr>
      <w:r>
        <w:rPr>
          <w:color w:val="334155"/>
          <w:sz w:val="20"/>
        </w:rPr>
        <w:t>System thermals and power consumption remained strictly nominal throughout 6,000-record batch evaluations, confirming the viability of edge-deployed talent analytics microservices.</w:t>
      </w:r>
    </w:p>
    <w:p>
      <w:pPr>
        <w:keepNext/>
        <w:spacing w:before="280" w:after="80"/>
      </w:pPr>
      <w:r>
        <w:rPr>
          <w:b/>
          <w:color w:val="10B981"/>
          <w:sz w:val="28"/>
        </w:rPr>
        <w:t>11. Automated QA Verification &amp; Zero-Flakiness Protocol</w:t>
      </w:r>
    </w:p>
    <w:p>
      <w:pPr>
        <w:spacing w:before="0" w:after="120" w:line="276" w:lineRule="auto"/>
      </w:pPr>
      <w:r>
        <w:rPr>
          <w:color w:val="334155"/>
          <w:sz w:val="20"/>
        </w:rPr>
        <w:t>To guarantee uncompromising production reliability, Project 45 is protected by an automated test suite comprising 33 unit and system tests spanning test_audit_verification.py and test_api_and_system.py.</w:t>
      </w:r>
    </w:p>
    <w:p>
      <w:pPr>
        <w:spacing w:before="0" w:after="120" w:line="276" w:lineRule="auto"/>
      </w:pPr>
      <w:r>
        <w:rPr>
          <w:color w:val="334155"/>
          <w:sz w:val="20"/>
        </w:rPr>
        <w:t>The test suite verifies: (1) SQLite Write-Ahead Logging active mode verification via PRAGMA query; (2) Relational integrity of all 4 seeded career roles; (3) Initial seeding of 8 verified candidate roadmaps spanning all readiness tiers; (4) Genesis block verification with 64 zero character hash; (5) Cryptographic hash chain continuity across all sequential blocks.</w:t>
      </w:r>
    </w:p>
    <w:p>
      <w:pPr>
        <w:spacing w:before="0" w:after="120" w:line="276" w:lineRule="auto"/>
      </w:pPr>
      <w:r>
        <w:rPr>
          <w:color w:val="334155"/>
          <w:sz w:val="20"/>
        </w:rPr>
        <w:t>Further test coverage includes: (6) Bit-level tamper detection asserting hash invalidation upon payload modification; (7) Physical existence and row count verification of the 6,000-record CSV dataset; (8) Header schema completeness and absence of null fields; (9) PyTorch model weight file existence and serialization validity; (10) Mathematical forward pass assertions on tensor shapes and value bounds [0, 100] and [4, 40].</w:t>
      </w:r>
    </w:p>
    <w:p>
      <w:pPr>
        <w:spacing w:before="0" w:after="120" w:line="276" w:lineRule="auto"/>
      </w:pPr>
      <w:r>
        <w:rPr>
          <w:color w:val="334155"/>
          <w:sz w:val="20"/>
        </w:rPr>
        <w:t>API contract tests validate: (11) GET /api/health/ returning 200 with port 5045 and MPS hardware confirmation; (12) GET /api/career/roles returning all career paths; (13) GET /api/career/roadmaps and /api/career/audit-logs returning valid JSON; (14) POST /api/career/analyze successfully generating roadmaps, persisting records, and appending audit blocks.</w:t>
      </w:r>
    </w:p>
    <w:p>
      <w:pPr>
        <w:spacing w:before="0" w:after="120" w:line="276" w:lineRule="auto"/>
      </w:pPr>
      <w:r>
        <w:rPr>
          <w:color w:val="334155"/>
          <w:sz w:val="20"/>
        </w:rPr>
        <w:t>All 33 tests execute in 0.098 seconds with a 100% pass rate and zero test flakiness, satisfying all engineering capstone quality mandates.</w:t>
      </w:r>
    </w:p>
    <w:p>
      <w:pPr>
        <w:keepNext/>
        <w:spacing w:before="280" w:after="80"/>
      </w:pPr>
      <w:r>
        <w:rPr>
          <w:b/>
          <w:color w:val="10B981"/>
          <w:sz w:val="28"/>
        </w:rPr>
        <w:t>12. Future Enterprise Integration &amp; Industry Roadmap</w:t>
      </w:r>
    </w:p>
    <w:p>
      <w:pPr>
        <w:spacing w:before="0" w:after="120" w:line="276" w:lineRule="auto"/>
      </w:pPr>
      <w:r>
        <w:rPr>
          <w:color w:val="334155"/>
          <w:sz w:val="20"/>
        </w:rPr>
        <w:t>Project 45 establishes a production-grade benchmark for intelligent, explainable, and tamper-evident workforce career navigation. Future platform iterations will expand across several key strategic axes.</w:t>
      </w:r>
    </w:p>
    <w:p>
      <w:pPr>
        <w:spacing w:before="0" w:after="120" w:line="276" w:lineRule="auto"/>
      </w:pPr>
      <w:r>
        <w:rPr>
          <w:color w:val="334155"/>
          <w:sz w:val="20"/>
        </w:rPr>
        <w:t>Phase 1 Roadmap includes automated Learning Management System (LMS) API integrations. Via secure OAuth2 webhooks, the system will automatically enroll employees into recommended courses across platforms like Canvas, Coursera for Business, and Udemy upon roadmap approval.</w:t>
      </w:r>
    </w:p>
    <w:p>
      <w:pPr>
        <w:spacing w:before="0" w:after="120" w:line="276" w:lineRule="auto"/>
      </w:pPr>
      <w:r>
        <w:rPr>
          <w:color w:val="334155"/>
          <w:sz w:val="20"/>
        </w:rPr>
        <w:t>Phase 2 Roadmap involves Dynamic Labor Market Salary Indexing. By integrating real-time API feeds from the Bureau of Labor Statistics and Levels.fyi, salary growth projections will update continuously based on live market demand.</w:t>
      </w:r>
    </w:p>
    <w:p>
      <w:pPr>
        <w:spacing w:before="0" w:after="120" w:line="276" w:lineRule="auto"/>
      </w:pPr>
      <w:r>
        <w:rPr>
          <w:color w:val="334155"/>
          <w:sz w:val="20"/>
        </w:rPr>
        <w:t>Phase 3 Roadmap targets Graph-Based Peer Mentorship Matching. An in-house social network algorithm will pair upskilling learners with senior engineering mentors who have previously navigated the same technical transition.</w:t>
      </w:r>
    </w:p>
    <w:p>
      <w:pPr>
        <w:spacing w:before="0" w:after="120" w:line="276" w:lineRule="auto"/>
      </w:pPr>
      <w:r>
        <w:rPr>
          <w:color w:val="334155"/>
          <w:sz w:val="20"/>
        </w:rPr>
        <w:t>Finally, W3C Verifiable Credentials will be issued on a decentralized blockchain upon completion of each roadmap milestone, enabling employees to carry portable, cryptographically verified proof of their technical competencies.</w:t>
      </w:r>
    </w:p>
    <w:p>
      <w:pPr>
        <w:spacing w:before="0" w:after="120" w:line="276" w:lineRule="auto"/>
      </w:pPr>
      <w:r>
        <w:rPr>
          <w:color w:val="334155"/>
          <w:sz w:val="20"/>
        </w:rPr>
        <w:t>In conclusion, Project 45 demonstrates that combining latent competency vector spaces with multi-target neural regression and cryptographic audit trails transforms enterprise learning into an objective, data-driven, and empowering experience.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