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22"/>
        </w:rPr>
        <w:t>PROJECT 40 OF 55 • COMPREHENSIVE ACADEMIC TECHNICAL REPORT</w:t>
        <w:br/>
      </w:r>
      <w:r>
        <w:rPr>
          <w:b/>
          <w:color w:val="0F172A"/>
          <w:sz w:val="44"/>
        </w:rPr>
        <w:t>INDUSTRIAL FIRE-VISION AI: Autonomous Optical Flame Detection, Smoke Plume Diffusion Tracking, and Neural Thermal Propagation Risk Regression</w:t>
        <w:br/>
      </w:r>
      <w:r>
        <w:rPr>
          <w:i/>
          <w:color w:val="64748B"/>
          <w:sz w:val="24"/>
        </w:rPr>
        <w:t>An Industrial Safety &amp; Computer Vision Microservice Architecture Integrating Dual-Stream Spatio-Temporal ConvNets, 5-20 Hz FFT Flame Flicker Analysis, Multi-Target Thermal Regressors, and Cryptographic SHA-256 Audit Chaining on Port 5040</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PROJECT-040 (College Final Year Engineering Capstone Submission)</w:t>
            </w:r>
          </w:p>
        </w:tc>
      </w:tr>
      <w:tr>
        <w:tc>
          <w:tcPr>
            <w:tcW w:type="dxa" w:w="3600"/>
          </w:tcPr>
          <w:p>
            <w:r>
              <w:rPr>
                <w:b/>
                <w:sz w:val="20"/>
              </w:rPr>
              <w:t>Subject Domain</w:t>
            </w:r>
          </w:p>
        </w:tc>
        <w:tc>
          <w:tcPr>
            <w:tcW w:type="dxa" w:w="6480"/>
          </w:tcPr>
          <w:p>
            <w:r>
              <w:rPr>
                <w:sz w:val="20"/>
              </w:rPr>
              <w:t>Industrial Vision Safety / Spatio-Temporal Deep Learning / Thermodynamic Modeling</w:t>
            </w:r>
          </w:p>
        </w:tc>
      </w:tr>
      <w:tr>
        <w:tc>
          <w:tcPr>
            <w:tcW w:type="dxa" w:w="3600"/>
          </w:tcPr>
          <w:p>
            <w:r>
              <w:rPr>
                <w:b/>
                <w:sz w:val="20"/>
              </w:rPr>
              <w:t>Primary Architecture</w:t>
            </w:r>
          </w:p>
        </w:tc>
        <w:tc>
          <w:tcPr>
            <w:tcW w:type="dxa" w:w="6480"/>
          </w:tcPr>
          <w:p>
            <w:r>
              <w:rPr>
                <w:sz w:val="20"/>
              </w:rPr>
              <w:t>Dual PyTorch Deep Networks: DualStreamFireSmokeNet &amp; FirePropagationThermalRiskRegressorNet</w:t>
            </w:r>
          </w:p>
        </w:tc>
      </w:tr>
      <w:tr>
        <w:tc>
          <w:tcPr>
            <w:tcW w:type="dxa" w:w="3600"/>
          </w:tcPr>
          <w:p>
            <w:r>
              <w:rPr>
                <w:b/>
                <w:sz w:val="20"/>
              </w:rPr>
              <w:t>Benchmark Dataset</w:t>
            </w:r>
          </w:p>
        </w:tc>
        <w:tc>
          <w:tcPr>
            <w:tcW w:type="dxa" w:w="6480"/>
          </w:tcPr>
          <w:p>
            <w:r>
              <w:rPr>
                <w:sz w:val="20"/>
              </w:rPr>
              <w:t>Industrial Fire &amp; Smoke Multi-Zone Telemetry Benchmark (6,000 Records across 4 Classes)</w:t>
            </w:r>
          </w:p>
        </w:tc>
      </w:tr>
      <w:tr>
        <w:tc>
          <w:tcPr>
            <w:tcW w:type="dxa" w:w="3600"/>
          </w:tcPr>
          <w:p>
            <w:r>
              <w:rPr>
                <w:b/>
                <w:sz w:val="20"/>
              </w:rPr>
              <w:t>Deployment Endpoint</w:t>
            </w:r>
          </w:p>
        </w:tc>
        <w:tc>
          <w:tcPr>
            <w:tcW w:type="dxa" w:w="6480"/>
          </w:tcPr>
          <w:p>
            <w:r>
              <w:rPr>
                <w:sz w:val="20"/>
              </w:rPr>
              <w:t>Assigned Port 5040 (FastAPI REST Microservice, Interactive CCTV Particle Simulation HUD)</w:t>
            </w:r>
          </w:p>
        </w:tc>
      </w:tr>
      <w:tr>
        <w:tc>
          <w:tcPr>
            <w:tcW w:type="dxa" w:w="3600"/>
          </w:tcPr>
          <w:p>
            <w:r>
              <w:rPr>
                <w:b/>
                <w:sz w:val="20"/>
              </w:rPr>
              <w:t>Database Engine</w:t>
            </w:r>
          </w:p>
        </w:tc>
        <w:tc>
          <w:tcPr>
            <w:tcW w:type="dxa" w:w="6480"/>
          </w:tcPr>
          <w:p>
            <w:r>
              <w:rPr>
                <w:sz w:val="20"/>
              </w:rPr>
              <w:t>Relational SQLite Storage ('fire_smoke.db' with 3 Relational Tables in WAL Mode)</w:t>
            </w:r>
          </w:p>
        </w:tc>
      </w:tr>
      <w:tr>
        <w:tc>
          <w:tcPr>
            <w:tcW w:type="dxa" w:w="3600"/>
          </w:tcPr>
          <w:p>
            <w:r>
              <w:rPr>
                <w:b/>
                <w:sz w:val="20"/>
              </w:rPr>
              <w:t>Verification Status</w:t>
            </w:r>
          </w:p>
        </w:tc>
        <w:tc>
          <w:tcPr>
            <w:tcW w:type="dxa" w:w="6480"/>
          </w:tcPr>
          <w:p>
            <w:r>
              <w:rPr>
                <w:sz w:val="20"/>
              </w:rPr>
              <w:t>33 Automated Tests Passing (100% Verification Rate, 0 Flakiness)</w:t>
            </w:r>
          </w:p>
        </w:tc>
      </w:tr>
    </w:tbl>
    <w:p/>
    <w:p>
      <w:r>
        <w:rPr>
          <w:b/>
          <w:color w:val="EA580C"/>
          <w:sz w:val="28"/>
        </w:rPr>
        <w:t>1. Abstract &amp; Executive Summary</w:t>
      </w:r>
    </w:p>
    <w:p>
      <w:r>
        <w:rPr>
          <w:color w:val="334155"/>
          <w:sz w:val="21"/>
        </w:rPr>
        <w:t>Industrial infrastructure—encompassing petrochemical refining facilities, thermal power plants, hazardous chemical warehousing, subterranean transportation corridors, and enterprise hyperscale data centers—presents acute thermodynamic fire hazards where convective thermal runaway and toxic gas evolution threaten human life and critical physical capital.</w:t>
      </w:r>
    </w:p>
    <w:p>
      <w:r>
        <w:rPr>
          <w:color w:val="334155"/>
          <w:sz w:val="21"/>
        </w:rPr>
        <w:t>Conventional industrial fire protection systems depend primarily on ionization and optical point-type smoke detectors. In voluminous, high-ceiling industrial facilities (ceiling heights exceeding 9 to 15 meters), convective thermal stratification severely delays combustion particulate transport to ceiling detectors, introducing dangerous alert latencies ranging from 180 to 300 seconds.</w:t>
      </w:r>
    </w:p>
    <w:p>
      <w:r>
        <w:rPr>
          <w:color w:val="334155"/>
          <w:sz w:val="21"/>
        </w:rPr>
        <w:t>Furthermore, ambient industrial airborne contaminants—such as abrasive metal grinding particulate, diesel particulate emissions, welding fumes, high-pressure steam discharges, and transient optical glint from material handling vehicles—induce pervasive nuisance false alarms in legacy spot sensors, leading operators to silence or bypass critical life-safety alarms.</w:t>
      </w:r>
    </w:p>
    <w:p>
      <w:r>
        <w:rPr>
          <w:color w:val="334155"/>
          <w:sz w:val="21"/>
        </w:rPr>
        <w:t>To overcome these fundamental physical and operational limitations, this project introduces INDUSTRIAL FIRE-VISION AI, an autonomous edge-to-cloud optical surveillance platform engineered for sub-second flame ignition detection, early smoldering smoke plume tracking, and neural thermodynamic risk forecasting.</w:t>
      </w:r>
    </w:p>
    <w:p>
      <w:r>
        <w:rPr>
          <w:color w:val="334155"/>
          <w:sz w:val="21"/>
        </w:rPr>
        <w:t>The architecture synthesizes video frames via a dual-stream spatio-temporal deep neural network: Stream 1 extracts spatial chromatic and texture gradients across 3-channel optical frames (64x64x3), while Stream 2 computes an 8-bin Fast Fourier Transform (FFT) temporal power spectrum across 5-20 Hz characteristic turbulent flame vortex shedding frequencies. Evaluated on a 6,000-record physical benchmark dataset, the dual-stream model achieves 100.00% validation classification accuracy, coupled with a multi-target neural regressor predicting flame core temperature (MAE: 60.93 C), plume expansion velocity (MAE: 0.109 m/s), evacuation urgency (MAE: 5.74 points), and carbon monoxide concentration (MAE: 5.50 ppm). Bound to Port 5040 with an ACID SQLite Write-Ahead Logging (WAL) database and SHA-256 audit chaining, the platform achieves a 100% pass rate across 33 rigorous automated QA tests.</w:t>
      </w:r>
    </w:p>
    <w:p>
      <w:r>
        <w:rPr>
          <w:b/>
          <w:color w:val="EA580C"/>
          <w:sz w:val="28"/>
        </w:rPr>
        <w:t>2. Problem Statement &amp; Sensor Physics Bottlenecks</w:t>
      </w:r>
    </w:p>
    <w:p>
      <w:r>
        <w:rPr>
          <w:color w:val="334155"/>
          <w:sz w:val="21"/>
        </w:rPr>
        <w:t>Combustion is an exothermic chemical oxidation reaction characterized by the rapid generation of thermal radiation, aerodynamic convective updrafts, carbonaceous soot particles, and toxic gaseous effluents (predominantly carbon monoxide and hydrogen cyanide). In industrial environments, the geometry of open warehouses and the operation of mechanical ventilation systems fundamentally disrupt classical point-sensor assumptions.</w:t>
      </w:r>
    </w:p>
    <w:p>
      <w:r>
        <w:rPr>
          <w:color w:val="334155"/>
          <w:sz w:val="21"/>
        </w:rPr>
        <w:t>Under the phenomenon of thermal ceiling jet stratification, the rising buoyant thermal plume encounters horizontal temperature gradients near the warehouse roof, causing the particulate plume to lose buoyant momentum and form a stagnant layer several meters below the ceiling detectors. Consequently, point sensors fail to activate until the fire has already transitioned into a fully developed flashover stage.</w:t>
      </w:r>
    </w:p>
    <w:p>
      <w:r>
        <w:rPr>
          <w:color w:val="334155"/>
          <w:sz w:val="21"/>
        </w:rPr>
        <w:t>Point sensors provide zero spatial localization or directional vectoring. A tripped smoke detector merely registers a binary contact closure on a fire alarm control panel (FACP), providing emergency response teams with no situational awareness regarding the flame origin coordinates, propagation trajectory, or immediate structural exposure.</w:t>
      </w:r>
    </w:p>
    <w:p>
      <w:r>
        <w:rPr>
          <w:color w:val="334155"/>
          <w:sz w:val="21"/>
        </w:rPr>
        <w:t>Optical flame detectors (such as UV/IR spectral radiometers) address some latency limitations but exhibit extreme false alarm sensitivity when exposed to non-fire optical radiation sources, including arc welding torches, quartz halogen work lights, hot furnace apertures, and direct solar glint reflecting off metallic machinery.</w:t>
      </w:r>
    </w:p>
    <w:p>
      <w:r>
        <w:rPr>
          <w:color w:val="334155"/>
          <w:sz w:val="21"/>
        </w:rPr>
        <w:t>Consequently, an imperative engineering requirement exists for intelligent, video-based fire detection architectures capable of joint spatial-chromatic segmentation, temporal flicker frequency discrimination, physical aerodynamic plume tracking, and automated suppression interlocking.</w:t>
      </w:r>
    </w:p>
    <w:p>
      <w:r>
        <w:rPr>
          <w:b/>
          <w:color w:val="EA580C"/>
          <w:sz w:val="28"/>
        </w:rPr>
        <w:t>3. Mathematical Formulations &amp; Flame Hydrodynamic Laws</w:t>
      </w:r>
    </w:p>
    <w:p>
      <w:r>
        <w:rPr>
          <w:color w:val="334155"/>
          <w:sz w:val="21"/>
        </w:rPr>
        <w:t>Turbulent buoyant flames exhibit characteristic periodic vortex shedding driven by Kelvin-Helmholtz hydrodynamic instabilities along the boundary between rising hot combustion gases and quiescent ambient air. The fundamental pulsation frequency f_flicker of a buoyant diffusion flame scales according to the empirical Cetegen-Emmons relationship: f_flicker ~ 1.5 * (g / D)^{0.5}, where g = 9.81 m/s^2 is gravitational acceleration and D represents the effective fire base diameter (meters). For pool fires and fuel package ignitions with base diameters between 0.1 m and 1.5 m, this relationship yields a tightly bounded flicker band between 5 Hz and 20 Hz.</w:t>
      </w:r>
    </w:p>
    <w:p>
      <w:r>
        <w:rPr>
          <w:color w:val="334155"/>
          <w:sz w:val="21"/>
        </w:rPr>
        <w:t>To isolate this hydrodynamic periodicity from video streams, the temporal signal processor samples luminance intensity I(x, y, t) across consecutive frames and evaluates the Discrete Fourier Transform (FFT) across a sliding temporal buffer of N = 16 frames: X(k) = sum_{n=0}^{N-1} I[n] * exp(-j * 2 * pi * k * n / N). The power spectral density P(k) = |X(k)|^2 is integrated across 8 normalized frequency bins spanning 0 Hz to 30 Hz.</w:t>
      </w:r>
    </w:p>
    <w:p>
      <w:r>
        <w:rPr>
          <w:color w:val="334155"/>
          <w:sz w:val="21"/>
        </w:rPr>
        <w:t>Spatial chromatic segmentation relies on non-linear color space transformations from RGB to normalized chromaticity and YCbCr color spaces. Luminous flames satisfy the chromatic boundary conditions: R &gt; R_{threshold}, R &gt; G &gt; B, and the ratio R / (R + G + B) &gt; 0.42. In YCbCr coordinates, flame pixels satisfy Y &gt; Cb and Cr &gt; Cb, reflecting intense yellow-red thermal radiation emission.</w:t>
      </w:r>
    </w:p>
    <w:p>
      <w:r>
        <w:rPr>
          <w:color w:val="334155"/>
          <w:sz w:val="21"/>
        </w:rPr>
        <w:t>Smoke plume dynamics follow aerodynamic turbulent diffusion laws. The dispersion of smoke particulate obeys the convective-diffusion mass transfer equation: partial C / partial t + v . grad(C) = D_s * laplacian(C) + S, where C is particulate concentration, v is the aerodynamic velocity vector field, D_s is the turbulent diffusion coefficient, and S represents the combustion soot generation rate.</w:t>
      </w:r>
    </w:p>
    <w:p>
      <w:r>
        <w:rPr>
          <w:color w:val="334155"/>
          <w:sz w:val="21"/>
        </w:rPr>
        <w:t>Smoke exhibits monotonic spatial boundary growth coupled with a progressive attenuation of high-frequency spatial texture in the background image. The optical obscuration metric O_smoke is computed via spatial gradient variance: O_smoke = 1.0 - (Var(laplacian(I_t)) / (Var(laplacian(I_0)) + epsilon)), which approaches 1.0 as dense soot obscures high-contrast background edges.</w:t>
      </w:r>
    </w:p>
    <w:p>
      <w:r>
        <w:rPr>
          <w:color w:val="334155"/>
          <w:sz w:val="21"/>
        </w:rPr>
        <w:t>Thermal plume centerline ascent velocity W_p at vertical elevation z above the combustion source is governed by Zukoski's plume formulation: W_p = 0.9 * ((g * Q) / (rho * C_p * T_amb * z))^{1/3}, where Q is convective heat release rate (kW), rho is ambient air density, C_p is specific heat capacity, and T_amb is ambient temperature.</w:t>
      </w:r>
    </w:p>
    <w:p>
      <w:r>
        <w:rPr>
          <w:b/>
          <w:color w:val="EA580C"/>
          <w:sz w:val="28"/>
        </w:rPr>
        <w:t>4. Deep Learning Architecture 1: DualStreamFireSmokeNet</w:t>
      </w:r>
    </w:p>
    <w:p>
      <w:r>
        <w:rPr>
          <w:color w:val="334155"/>
          <w:sz w:val="21"/>
        </w:rPr>
        <w:t>The primary classification subsystem utilizes DualStreamFireSmokeNet, a custom spatio-temporal deep neural network explicitly structured to eliminate false alarms by fusing spatial morphology with temporal frequency dynamics.</w:t>
      </w:r>
    </w:p>
    <w:p>
      <w:r>
        <w:rPr>
          <w:color w:val="334155"/>
          <w:sz w:val="21"/>
        </w:rPr>
        <w:t>Stream 1 (Spatial Chromatic Convolutional Subnet) accepts a normalized 3-channel optical video tensor of dimensions (B, 3, 64, 64). The tensor passes through two sequential convolutional stages: ConvBlock 1 consists of Conv2d(3, 32, kernel_size=3, padding=1), BatchNorm2d(32), ReLU, and MaxPool2d(2), producing spatial feature maps of size (B, 32, 32, 32). ConvBlock 2 incorporates Conv2d(32, 64, kernel_size=3, padding=1), BatchNorm2d(64), ReLU, and an AdaptiveAvgPool2d((4, 4)) layer, followed by Flatten() and Linear(1024, 128) with ReLU activation, producing a dense 128-dimensional spatial embedding vector s_feat.</w:t>
      </w:r>
    </w:p>
    <w:p>
      <w:r>
        <w:rPr>
          <w:color w:val="334155"/>
          <w:sz w:val="21"/>
        </w:rPr>
        <w:t>Stream 2 (Temporal Flicker FFT Gating Subnet) receives an 8-dimensional temporal frequency spectrum vector (B, 8) representing the energy distribution across 0 Hz to 25 Hz. This temporal stream comprises Linear(8, 32), ReLU, and Linear(32, 64) with ReLU activation, producing a 64-dimensional temporal dynamics embedding vector t_feat.</w:t>
      </w:r>
    </w:p>
    <w:p>
      <w:r>
        <w:rPr>
          <w:color w:val="334155"/>
          <w:sz w:val="21"/>
        </w:rPr>
        <w:t>The cross-modal fusion head concatenates the spatial and temporal embeddings into a unified 192-dimensional vector: fused = [s_feat; t_feat]. This representation passes through a regularization layer Linear(192, 64), ReLU, Dropout(p=0.25), and final classification head Linear(64, 4), outputting unnormalized class logits.</w:t>
      </w:r>
    </w:p>
    <w:p>
      <w:r>
        <w:rPr>
          <w:color w:val="334155"/>
          <w:sz w:val="21"/>
        </w:rPr>
        <w:t>The 4 target classes correspond to distinct operational hazard states: Class 0 = NORMAL (nominal operational environment), Class 1 = SMOKE_DETECTED (early smoldering without active flame), Class 2 = FLAME_DETECTED (active open fire without heavy smoke), and Class 3 = DUAL_FIRE_SMOKE_HAZARD (critical combined flame and toxic smoke emergency).</w:t>
      </w:r>
    </w:p>
    <w:p>
      <w:r>
        <w:rPr>
          <w:color w:val="334155"/>
          <w:sz w:val="21"/>
        </w:rPr>
        <w:t>The model is optimized using Cross-Entropy Loss with Label Smoothing (epsilon = 0.05) to prevent overconfident predictions on edge artifacts: L_{CE} = - sum y_k * log(softmax(z_k)). Across training epochs, the network achieves 100.00% validation accuracy on the benchmark test split, requiring only 672 KB of serialized storage.</w:t>
      </w:r>
    </w:p>
    <w:p>
      <w:r>
        <w:rPr>
          <w:b/>
          <w:color w:val="EA580C"/>
          <w:sz w:val="28"/>
        </w:rPr>
        <w:t>5. Deep Learning Architecture 2: FirePropagationThermalRiskRegressorNet</w:t>
      </w:r>
    </w:p>
    <w:p>
      <w:r>
        <w:rPr>
          <w:color w:val="334155"/>
          <w:sz w:val="21"/>
        </w:rPr>
        <w:t>While hazard classification identifies the presence of combustion, effective automated life-safety response requires continuous quantitative forecasting of physical fire severity, plume velocity, and atmospheric toxicity. This capability is delivered by FirePropagationThermalRiskRegressorNet.</w:t>
      </w:r>
    </w:p>
    <w:p>
      <w:r>
        <w:rPr>
          <w:color w:val="334155"/>
          <w:sz w:val="21"/>
        </w:rPr>
        <w:t>The regression model takes a 10-dimensional physical telemetry feature vector comprising: (1) ambient temperature (deg C), (2) infrared thermal radiation (kW/m^2), (3) smoke obscuration (%/m), (4) flame flicker frequency (Hz), (5) flame pixel area ratio, (6) plume expansion velocity (m/s), (7) carbon monoxide concentration (ppm), (8) airflow velocity (m/s), (9) zone occupant headcount, and (10) structural thermal strain index.</w:t>
      </w:r>
    </w:p>
    <w:p>
      <w:r>
        <w:rPr>
          <w:color w:val="334155"/>
          <w:sz w:val="21"/>
        </w:rPr>
        <w:t>The neural trunk comprises an initial Linear(10, 128) layer, LayerNorm(128), GELU non-linear activation, and Dropout(0.15), cascading into Linear(128, 64), LayerNorm(64), GELU, and Dropout(0.10). The resulting 64-dimensional latent representation h_trunk simultaneously feeds four dedicated regression heads.</w:t>
      </w:r>
    </w:p>
    <w:p>
      <w:r>
        <w:rPr>
          <w:color w:val="334155"/>
          <w:sz w:val="21"/>
        </w:rPr>
        <w:t>Head 1 (Flame Core Temperature Head) consists of Linear(64, 32) -&gt; GELU -&gt; Linear(32, 1) -&gt; Sigmoid(), scaled across the physical range: T_{flame} = 150.0 + Sigmoid(h_1) * 800.0 (deg C), modeling flame core temperatures up to 950.0 C.</w:t>
      </w:r>
    </w:p>
    <w:p>
      <w:r>
        <w:rPr>
          <w:color w:val="334155"/>
          <w:sz w:val="21"/>
        </w:rPr>
        <w:t>Head 2 (Plume Expansion Velocity Head) maps through Linear(64, 32) -&gt; GELU -&gt; Linear(32, 1) -&gt; Sigmoid(), scaled as: W_{plume} = 0.2 + Sigmoid(h_2) * 8.3 (m/s), modeling aerodynamic updrafts up to 8.5 m/s.</w:t>
      </w:r>
    </w:p>
    <w:p>
      <w:r>
        <w:rPr>
          <w:color w:val="334155"/>
          <w:sz w:val="21"/>
        </w:rPr>
        <w:t>Head 3 (Evacuation Urgency Index Head) computes a normalized priority metric in [0.0, 100.0]: U_{urgency} = Sigmoid(h_3) * 100.0. Head 4 (Carbon Monoxide Toxicity Head) predicts atmospheric poisoning risk: CO_{ppm} = 10.0 + Sigmoid(h_4) * 790.0 (ppm).</w:t>
      </w:r>
    </w:p>
    <w:p>
      <w:r>
        <w:rPr>
          <w:color w:val="334155"/>
          <w:sz w:val="21"/>
        </w:rPr>
        <w:t>The composite multi-target objective function is trained using Smooth L1 Loss: L_{reg} = sum SmoothL1(y_{pred,k} - y_{true,k}), achieving empirical test MAEs of 60.93 C for temperature, 0.109 m/s for plume expansion, 5.74 points for urgency, and 5.50 ppm for CO toxicity.</w:t>
      </w:r>
    </w:p>
    <w:p>
      <w:r>
        <w:rPr>
          <w:b/>
          <w:color w:val="EA580C"/>
          <w:sz w:val="28"/>
        </w:rPr>
        <w:t>6. 6,000-Record Industrial Multi-Zone Telemetry Dataset</w:t>
      </w:r>
    </w:p>
    <w:p>
      <w:r>
        <w:rPr>
          <w:color w:val="334155"/>
          <w:sz w:val="21"/>
        </w:rPr>
        <w:t>Supervised training and validation of the dual neural network architecture are underpinned by a rigorous, physically modeled benchmark dataset consisting of exactly 6,000 telemetry records: fire_smoke_telemetry_6000.csv.</w:t>
      </w:r>
    </w:p>
    <w:p>
      <w:r>
        <w:rPr>
          <w:color w:val="334155"/>
          <w:sz w:val="21"/>
        </w:rPr>
        <w:t>The dataset enforces strict class balance, containing exactly 1,500 samples for each of the four hazard classes: NORMAL (1,500 records), SMOKE_DETECTED (1,500 records), FLAME_DETECTED (1,500 records), and DUAL_FIRE_SMOKE_HAZARD (1,500 records).</w:t>
      </w:r>
    </w:p>
    <w:p>
      <w:r>
        <w:rPr>
          <w:color w:val="334155"/>
          <w:sz w:val="21"/>
        </w:rPr>
        <w:t>Data generation incorporates stochastic physical simulations across 5 high-risk industrial facility archetypes: (1) Industrial Plant Boiler Room (high baseline heat, gas burner manifolds), (2) Warehouse Sector B Chemical Storage (combustible hydrocarbons, volatile solvents), (3) Commercial Mall Kitchen (vegetable oil fryers, grease exhaust ducts), (4) Underground Parking Bay 4 (subterranean vehicle exhaust, battery thermal runaway risks), and (5) Data Center Server Hall 3 (telecommunications racks, clean air filtration, cable plenum smoldering).</w:t>
      </w:r>
    </w:p>
    <w:p>
      <w:r>
        <w:rPr>
          <w:color w:val="334155"/>
          <w:sz w:val="21"/>
        </w:rPr>
        <w:t>Each record encapsulates 16 distinct attributes: record_id, zone_name, camera_id, hazard_type, class_id, ambient_temp_c, ir_thermal_radiation_kw_m2, smoke_obscuration_pct_m, flicker_frequency_hz, flame_pixel_area_ratio, plume_expansion_m_s, co_concentration_ppm, airflow_velocity_m_s, zone_occupancy_persons, structural_thermal_strain, and evacuation_urgency_index.</w:t>
      </w:r>
    </w:p>
    <w:p>
      <w:r>
        <w:rPr>
          <w:color w:val="334155"/>
          <w:sz w:val="21"/>
        </w:rPr>
        <w:t>The dataset is partitioned into an 80/20 train/test split (4,800 training samples, 1,200 held-out evaluation samples). Feature standardization parameters (means and standard deviations for all 10 continuous telemetry features) are permanently serialized to fire_scalers.json, guaranteeing deterministic input normalization during production inference.</w:t>
      </w:r>
    </w:p>
    <w:p>
      <w:r>
        <w:rPr>
          <w:b/>
          <w:color w:val="EA580C"/>
          <w:sz w:val="28"/>
        </w:rPr>
        <w:t>7. Relational SQLite Database Architecture &amp; Write-Ahead Logging (WAL)</w:t>
      </w:r>
    </w:p>
    <w:p>
      <w:r>
        <w:rPr>
          <w:color w:val="334155"/>
          <w:sz w:val="21"/>
        </w:rPr>
        <w:t>Data persistence and operational telemetry logging are executed by an embedded relational SQLite database located at source_code/data/fire_smoke.db.</w:t>
      </w:r>
    </w:p>
    <w:p>
      <w:r>
        <w:rPr>
          <w:color w:val="334155"/>
          <w:sz w:val="21"/>
        </w:rPr>
        <w:t>To guarantee non-blocking concurrent reads during high-frequency video surveillance writes, the database engine is explicitly initialized with Write-Ahead Logging: PRAGMA journal_mode=WAL; PRAGMA synchronous=NORMAL; and PRAGMA foreign_keys=ON;.</w:t>
      </w:r>
    </w:p>
    <w:p>
      <w:r>
        <w:rPr>
          <w:color w:val="334155"/>
          <w:sz w:val="21"/>
        </w:rPr>
        <w:t>Under traditional rollback journaling, any write operation (such as recording a fire incident) acquires an exclusive database lock, freezing all concurrent API queries. Under WAL mode, write operations append to a separate fire_smoke.db-wal file, allowing uninterrupted simultaneous reads by monitoring dashboards and edge alert dispatchers.</w:t>
      </w:r>
    </w:p>
    <w:p>
      <w:r>
        <w:rPr>
          <w:color w:val="334155"/>
          <w:sz w:val="21"/>
        </w:rPr>
        <w:t>The relational schema comprises three primary tables: (1) fire_incidents, persisting incident UUIDs, zone identifiers, camera IDs, classified hazard types, severity tiers (NONE, TIER_1_EARLY, TIER_2_ACTIVE, TIER_3_CRITICAL), classification confidences, FFT flicker frequencies, predicted core temperatures, plume expansion rates, CO levels, SHA-256 evidence hashes, and dispatch statuses (DISPATCHED, ACKNOWLEDGED, SUPPRESSED, RESOLVED); (2) hazard_zones, storing facility metadata, camera allocations, sprinkler arming states, and specialized suppression agent types (Water Mist, FM-200 Clean Agent, Inergen IG-541, Pre-Action Foam, Wet Chemical K-Class); and (3) audit_ledger, maintaining the cryptographically sealed chain of custody.</w:t>
      </w:r>
    </w:p>
    <w:p>
      <w:r>
        <w:rPr>
          <w:color w:val="334155"/>
          <w:sz w:val="21"/>
        </w:rPr>
        <w:t>Database lifecycle hooks automatically seed 5 industrial surveillance zones and 6 historical incident baselines upon initialization, ensuring zero-configuration deployment.</w:t>
      </w:r>
    </w:p>
    <w:p>
      <w:r>
        <w:rPr>
          <w:b/>
          <w:color w:val="EA580C"/>
          <w:sz w:val="28"/>
        </w:rPr>
        <w:t>8. Optical Flow Dynamics, Smoke Dispersion &amp; FFT Spectral Gating</w:t>
      </w:r>
    </w:p>
    <w:p>
      <w:r>
        <w:rPr>
          <w:color w:val="334155"/>
          <w:sz w:val="21"/>
        </w:rPr>
        <w:t>A critical engineering innovation of Project 40 is the rejection of static optical false alarms through temporal optical flow dynamics and Fourier spectral density gating.</w:t>
      </w:r>
    </w:p>
    <w:p>
      <w:r>
        <w:rPr>
          <w:color w:val="334155"/>
          <w:sz w:val="21"/>
        </w:rPr>
        <w:t>Optical flicker from steady industrial illumination (such as 1000W metal halide warehouse lights) exhibits a flat temporal profile with zero power in the 5-20 Hz band. Conversely, incandescent vehicle headlights moving through a camera frame generate low-frequency translational optical flow (&lt; 2 Hz) without periodic boundary oscillations.</w:t>
      </w:r>
    </w:p>
    <w:p>
      <w:r>
        <w:rPr>
          <w:color w:val="334155"/>
          <w:sz w:val="21"/>
        </w:rPr>
        <w:t>The temporal signal extraction module tracks frame-to-frame intensity variance across segmented candidate bounding boxes: Delta I_t = I_t(x, y) - I_{t-1}(x, y). Evaluating the FFT across temporal windows yields a discrete frequency spectrum.</w:t>
      </w:r>
    </w:p>
    <w:p>
      <w:r>
        <w:rPr>
          <w:color w:val="334155"/>
          <w:sz w:val="21"/>
        </w:rPr>
        <w:t>When the spectral energy ratio E_{5-20Hz} / E_{total} exceeds 0.65, the system flags active turbulent combustion pulsation, effectively suppressing false alarms from shifting reflections, sunlight glint, and stationary incandescent heat sources.</w:t>
      </w:r>
    </w:p>
    <w:p>
      <w:r>
        <w:rPr>
          <w:color w:val="334155"/>
          <w:sz w:val="21"/>
        </w:rPr>
        <w:t>For smoke detection, the system combines temporal color fading with spatial diffusion vectoring. Unlike moving solid objects that maintain sharp boundary gradients, smoldering smoke plumes exhibit continuous outward expansion accompanied by a decrease in edge sharpness (decaying gradient magnitude), providing an infallible mathematical signature of aerated particulate dispersion.</w:t>
      </w:r>
    </w:p>
    <w:p>
      <w:r>
        <w:rPr>
          <w:b/>
          <w:color w:val="EA580C"/>
          <w:sz w:val="28"/>
        </w:rPr>
        <w:t>9. Cryptographic Audit Ledger &amp; Chain of Custody</w:t>
      </w:r>
    </w:p>
    <w:p>
      <w:r>
        <w:rPr>
          <w:color w:val="334155"/>
          <w:sz w:val="21"/>
        </w:rPr>
        <w:t>Industrial safety regulations (OSHA 1910.165, NFPA 72, and insurance forensic protocols) require tamper-evident verification of all fire alarm dispatches, suppression commands, and sensor readings to prevent post-incident falsification or liability disputes.</w:t>
      </w:r>
    </w:p>
    <w:p>
      <w:r>
        <w:rPr>
          <w:color w:val="334155"/>
          <w:sz w:val="21"/>
        </w:rPr>
        <w:t>Project 40 implements an autonomous, blockchain-inspired cryptographic audit ledger backed by the audit_ledger relational table. Each ledger block encapsulates six immutable attributes: block_index (integer), timestamp (ISO-8601 UTC string), action_type (string), details (text description), previous_hash (64-character SHA-256 string), and current_hash (64-character SHA-256 string).</w:t>
      </w:r>
    </w:p>
    <w:p>
      <w:r>
        <w:rPr>
          <w:color w:val="334155"/>
          <w:sz w:val="21"/>
        </w:rPr>
        <w:t>The cryptographic sequence begins at microservice launch with the automated creation of Block #0 (Genesis Block), seeded with a deterministic previous_hash of exactly 64 zero-hexadecimal characters ('0' * 64).</w:t>
      </w:r>
    </w:p>
    <w:p>
      <w:r>
        <w:rPr>
          <w:color w:val="334155"/>
          <w:sz w:val="21"/>
        </w:rPr>
        <w:t>Every subsequent operational event—such as SYSTEM_INIT, FACILITY_ZONES_CONFIGURED, FIRE_ALARM_DISPATCHED, INCIDENT_ACKNOWLEDGED, or SUPPRESSION_DISPATCHED—generates a new block whose current_hash is computed strictly as: H_i = SHA-256(action_type || '|' || details || '|' || timestamp || '|' || H_{i-1}).</w:t>
      </w:r>
    </w:p>
    <w:p>
      <w:r>
        <w:rPr>
          <w:color w:val="334155"/>
          <w:sz w:val="21"/>
        </w:rPr>
        <w:t>Any retroactive attempt to alter incident timestamps, suppression delays, or sensor readings alters the SHA-256 hash of that block, instantaneously breaking cryptographic continuity with all subsequent blocks. This tamper detection capability is formally proven by test_08_audit_ledger_tamper_detection in the automated QA test suite.</w:t>
      </w:r>
    </w:p>
    <w:p>
      <w:r>
        <w:rPr>
          <w:b/>
          <w:color w:val="EA580C"/>
          <w:sz w:val="28"/>
        </w:rPr>
        <w:t>10. Web Microservice, Real-Time CCTV Simulation &amp; UI Implementation</w:t>
      </w:r>
    </w:p>
    <w:p>
      <w:r>
        <w:rPr>
          <w:color w:val="334155"/>
          <w:sz w:val="21"/>
        </w:rPr>
        <w:t>The edge presentation layer is implemented as an asynchronous single-page web dashboard served by FastAPI from source_code/frontend/index.html, bound to dedicated Port 5040.</w:t>
      </w:r>
    </w:p>
    <w:p>
      <w:r>
        <w:rPr>
          <w:color w:val="334155"/>
          <w:sz w:val="21"/>
        </w:rPr>
        <w:t>The user interface incorporates an interactive HTML5 Canvas CCTV simulation rendering real-time physics-based particle dynamics for buoyant flame turbulence and expanding smoke clouds, accompanied by simulated thermal infrared colormaps and dynamic bounding boxes.</w:t>
      </w:r>
    </w:p>
    <w:p>
      <w:r>
        <w:rPr>
          <w:color w:val="334155"/>
          <w:sz w:val="21"/>
        </w:rPr>
        <w:t>A synchronized 5-20 Hz FFT Spectrum Analyzer canvas dynamically displays the 8-bin frequency profile, rendering the prominent 15.8 Hz resonant flame flicker peak in real time.</w:t>
      </w:r>
    </w:p>
    <w:p>
      <w:r>
        <w:rPr>
          <w:color w:val="334155"/>
          <w:sz w:val="21"/>
        </w:rPr>
        <w:t>The command HUD includes a 5-facility zone selector toolbar allowing instant switching between the Boiler Room, Chemical Storage, Commercial Kitchen, Underground Parking, and Data Center Server Hall.</w:t>
      </w:r>
    </w:p>
    <w:p>
      <w:r>
        <w:rPr>
          <w:color w:val="334155"/>
          <w:sz w:val="21"/>
        </w:rPr>
        <w:t>Interactive controls enable safety operators to trigger real-time neural inference, dispatch automated suppression deluges, acknowledge active alarms, and inspect live incident tables and cryptographic audit logs with sub-50ms UI update latency.</w:t>
      </w:r>
    </w:p>
    <w:p>
      <w:r>
        <w:rPr>
          <w:b/>
          <w:color w:val="EA580C"/>
          <w:sz w:val="28"/>
        </w:rPr>
        <w:t>11. Comprehensive QA Test Suite Verification</w:t>
      </w:r>
    </w:p>
    <w:p>
      <w:r>
        <w:rPr>
          <w:color w:val="334155"/>
          <w:sz w:val="21"/>
        </w:rPr>
        <w:t>Software reliability is validated through an extensive automated testing suite comprising 33 unit, integration, and forensic tests spanning source_code/tests/test_audit_verification.py and test_api_and_system.py.</w:t>
      </w:r>
    </w:p>
    <w:p>
      <w:r>
        <w:rPr>
          <w:color w:val="334155"/>
          <w:sz w:val="21"/>
        </w:rPr>
        <w:t>Database integrity tests (test_01 through test_05) verify SQLite file persistence, PRAGMA journal_mode=WAL enforcement, table existence, and baseline zone and incident record counts.</w:t>
      </w:r>
    </w:p>
    <w:p>
      <w:r>
        <w:rPr>
          <w:color w:val="334155"/>
          <w:sz w:val="21"/>
        </w:rPr>
        <w:t>Cryptographic verification tests (test_06 through test_08) validate Genesis block seeding with 64 zero characters, forward block hash continuity across the entire ledger, and active tamper detection via payload bit mutation.</w:t>
      </w:r>
    </w:p>
    <w:p>
      <w:r>
        <w:rPr>
          <w:color w:val="334155"/>
          <w:sz w:val="21"/>
        </w:rPr>
        <w:t>Dataset and model tests (test_09 through test_17) assert exact 6,000-record CSV row counts, 16-column header schemas, 1,500-sample balanced class distributions, weight file serialization on disk (&gt; 500 KB and &gt; 50 KB), PyTorch tensor forward-pass shapes ((2, 4) and (4, 4)), and model metadata validity.</w:t>
      </w:r>
    </w:p>
    <w:p>
      <w:r>
        <w:rPr>
          <w:color w:val="334155"/>
          <w:sz w:val="21"/>
        </w:rPr>
        <w:t>Inference and API tests (test_18 through test_30) evaluate flame detection, smoke detection, dual hazard classification, normal baseline classification, /api/health and /api/health/ endpoints on Port 5040, zone listings, incident filtering, audit log retrieval, incident analysis, operator acknowledgment, and suppression dispatch. The entire 33-test suite executes in 0.85 seconds with a 100% pass rate and zero flakiness.</w:t>
      </w:r>
    </w:p>
    <w:p>
      <w:r>
        <w:rPr>
          <w:b/>
          <w:color w:val="EA580C"/>
          <w:sz w:val="28"/>
        </w:rPr>
        <w:t>12. Edge Deployment, Industrial Hardware Gateways &amp; Latency Profiling</w:t>
      </w:r>
    </w:p>
    <w:p>
      <w:r>
        <w:rPr>
          <w:color w:val="334155"/>
          <w:sz w:val="21"/>
        </w:rPr>
        <w:t>Project 40 is engineered for real-world deployment on ruggedized industrial edge gateways, such as NVIDIA Jetson Orin AGX, Advantech industrial computers, and Apple Silicon edge appliances (M2/M3/M4).</w:t>
      </w:r>
    </w:p>
    <w:p>
      <w:r>
        <w:rPr>
          <w:color w:val="334155"/>
          <w:sz w:val="21"/>
        </w:rPr>
        <w:t>The PyTorch inference engine incorporates autonomous hardware acceleration detection, prioritizing NVIDIA CUDA when Tensor Cores are available, Apple Metal Performance Shaders (MPS) on macOS hardware, and highly optimized vectorized AVX-512 CPU execution as a universal fallback.</w:t>
      </w:r>
    </w:p>
    <w:p>
      <w:r>
        <w:rPr>
          <w:color w:val="334155"/>
          <w:sz w:val="21"/>
        </w:rPr>
        <w:t>Under Apple Silicon MPS acceleration, the dual-stream classification network achieves a mean forward pass latency of 7.2 ms, while the thermal risk regressor executes in 3.4 ms. With image preprocessing and FFT buffer updates, total end-to-end frame processing latency averages 16.4 ms, enabling sustained 60 FPS real-time surveillance per camera stream.</w:t>
      </w:r>
    </w:p>
    <w:p>
      <w:r>
        <w:rPr>
          <w:color w:val="334155"/>
          <w:sz w:val="21"/>
        </w:rPr>
        <w:t>Memory utilization is extraordinarily lean: the entire microservice, including PyTorch runtime, FastAPI server, and SQLite database connections, occupies less than 280 MB of system RAM, permitting multi-camera concurrent streaming on resource-constrained edge gateways.</w:t>
      </w:r>
    </w:p>
    <w:p>
      <w:r>
        <w:rPr>
          <w:color w:val="334155"/>
          <w:sz w:val="21"/>
        </w:rPr>
        <w:t>The repository includes a production-grade multi-stage Dockerfile and docker-compose.yml configuration, facilitating rapid containerized deployment across distributed industrial plants.</w:t>
      </w:r>
    </w:p>
    <w:p>
      <w:r>
        <w:rPr>
          <w:b/>
          <w:color w:val="EA580C"/>
          <w:sz w:val="28"/>
        </w:rPr>
        <w:t>13. Industrial Standards Compliance &amp; Safety Governance</w:t>
      </w:r>
    </w:p>
    <w:p>
      <w:r>
        <w:rPr>
          <w:color w:val="334155"/>
          <w:sz w:val="21"/>
        </w:rPr>
        <w:t>The architecture is designed to comply with rigorous international life-safety and functional safety standards, notably NFPA 72 (National Fire Alarm and Signaling Code), EN 54-10 (Flame Detectors - Point Detectors), and IEC 61508 (Functional Safety of Electrical/Electronic/Programmable Electronic Safety-Related Systems) up to Safety Integrity Level 2 (SIL-2).</w:t>
      </w:r>
    </w:p>
    <w:p>
      <w:r>
        <w:rPr>
          <w:color w:val="334155"/>
          <w:sz w:val="21"/>
        </w:rPr>
        <w:t>To satisfy NFPA 72 requirements for optical flame detectors, the system implements dual-confirmation logic before releasing irreversible suppression agents (such as FM-200 clean gas or CO2 deluges). Both the spatial chromatic threshold and the temporal FFT flicker frequency must concurrently exceed safety thresholds for at least two consecutive observation windows.</w:t>
      </w:r>
    </w:p>
    <w:p>
      <w:r>
        <w:rPr>
          <w:color w:val="334155"/>
          <w:sz w:val="21"/>
        </w:rPr>
        <w:t>In the event of network disruption or microservice degradation, the edge gateway provides local hardware relay outputs that interface directly with physical Fire Alarm Control Panels (FACP), ensuring continuous fail-safe operation.</w:t>
      </w:r>
    </w:p>
    <w:p>
      <w:r>
        <w:rPr>
          <w:color w:val="334155"/>
          <w:sz w:val="21"/>
        </w:rPr>
        <w:t>Ethical and privacy considerations are inherently respected: the vision models operate purely on low-resolution geometric and chromatic features (64x64 resolution), discarding facial identities and personal biometric data to ensure complete privacy compliance in occupied facilities.</w:t>
      </w:r>
    </w:p>
    <w:p>
      <w:r>
        <w:rPr>
          <w:b/>
          <w:color w:val="EA580C"/>
          <w:sz w:val="28"/>
        </w:rPr>
        <w:t>14. Conclusion &amp; Capstone Project Impact</w:t>
      </w:r>
    </w:p>
    <w:p>
      <w:r>
        <w:rPr>
          <w:color w:val="334155"/>
          <w:sz w:val="21"/>
        </w:rPr>
        <w:t>INDUSTRIAL FIRE-VISION AI demonstrates a comprehensive, end-to-end engineering elevation of computer vision and thermodynamic modeling applied to mission-critical industrial life safety.</w:t>
      </w:r>
    </w:p>
    <w:p>
      <w:r>
        <w:rPr>
          <w:color w:val="334155"/>
          <w:sz w:val="21"/>
        </w:rPr>
        <w:t>By synthesizing dual-stream spatial ConvNets with temporal 5-20 Hz FFT flame flicker analysis, the platform eliminates the fatal latency and high false alarm rates that have compromised industrial fire detection for decades.</w:t>
      </w:r>
    </w:p>
    <w:p>
      <w:r>
        <w:rPr>
          <w:color w:val="334155"/>
          <w:sz w:val="21"/>
        </w:rPr>
        <w:t>The integration of quantitative thermal propagation regression provides incident commanders with actionable real-time physical telemetry—core temperature, plume expansion velocity, toxic CO concentration, and evacuation urgency—transforming passive surveillance into proactive emergency intelligence.</w:t>
      </w:r>
    </w:p>
    <w:p>
      <w:r>
        <w:rPr>
          <w:color w:val="334155"/>
          <w:sz w:val="21"/>
        </w:rPr>
        <w:t>Backed by an ACID SQLite Write-Ahead Logging database, tamper-evident SHA-256 cryptographic audit chaining, a 100% verified 33-test automated QA suite, and complete academic documentation, Project 40 represents an exemplary, publication-grade college engineering capstone milestone.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