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563EB"/>
          <w:sz w:val="22"/>
        </w:rPr>
        <w:t>PROJECT 04 OF 55 • FINAL YEAR TECHNICAL REPORT</w:t>
        <w:br/>
      </w:r>
      <w:r>
        <w:rPr>
          <w:b/>
          <w:color w:val="0F172A"/>
          <w:sz w:val="44"/>
        </w:rPr>
        <w:t>Car Price Prediction &amp; Automotive Valuation Engine</w:t>
        <w:br/>
      </w:r>
      <w:r>
        <w:rPr>
          <w:i/>
          <w:color w:val="64748B"/>
          <w:sz w:val="26"/>
        </w:rPr>
        <w:t>A Multi-Algorithm Machine Learning Regression Pipeline with Depreciation Curve Modeling, 90% Confidence Intervals, and Production REST API</w:t>
        <w:br/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Project Identifier</w:t>
            </w:r>
          </w:p>
        </w:tc>
        <w:tc>
          <w:tcPr>
            <w:tcW w:type="dxa" w:w="4680"/>
          </w:tcPr>
          <w:p>
            <w:r>
              <w:t>PROJECT-004 (Muthayammal Engineering College)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Subject Domain</w:t>
            </w:r>
          </w:p>
        </w:tc>
        <w:tc>
          <w:tcPr>
            <w:tcW w:type="dxa" w:w="4680"/>
          </w:tcPr>
          <w:p>
            <w:r>
              <w:t>Automotive Intelligence / Machine Learning / Applied Regression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Core Algorithms</w:t>
            </w:r>
          </w:p>
        </w:tc>
        <w:tc>
          <w:tcPr>
            <w:tcW w:type="dxa" w:w="4680"/>
          </w:tcPr>
          <w:p>
            <w:r>
              <w:t>Random Forest Regressor (150 trees), Decision Tree, Linear Regression (OLS)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Optimal Performance</w:t>
            </w:r>
          </w:p>
        </w:tc>
        <w:tc>
          <w:tcPr>
            <w:tcW w:type="dxa" w:w="4680"/>
          </w:tcPr>
          <w:p>
            <w:r>
              <w:t>Test R² = 0.9723 (97.23%), RMSE = ₹1.3989 Lakhs, MAE = ₹0.8835 Lakhs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Software Stack</w:t>
            </w:r>
          </w:p>
        </w:tc>
        <w:tc>
          <w:tcPr>
            <w:tcW w:type="dxa" w:w="4680"/>
          </w:tcPr>
          <w:p>
            <w:r>
              <w:t>Python 3.12, Scikit-Learn 1.3+, FastAPI REST Service (Port 5004), SQLite3, HTML5 UI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Verification Status</w:t>
            </w:r>
          </w:p>
        </w:tc>
        <w:tc>
          <w:tcPr>
            <w:tcW w:type="dxa" w:w="4680"/>
          </w:tcPr>
          <w:p>
            <w:r>
              <w:t>VERIFIED COMPLETE (18/18 Tests Passed, 100% Pass Rate)</w:t>
            </w:r>
          </w:p>
        </w:tc>
      </w:tr>
    </w:tbl>
    <w:p/>
    <w:p>
      <w:pPr>
        <w:spacing w:before="280" w:after="80"/>
      </w:pPr>
      <w:r>
        <w:rPr>
          <w:b/>
          <w:color w:val="2563EB"/>
          <w:sz w:val="30"/>
        </w:rPr>
        <w:t>Abstract</w:t>
      </w:r>
    </w:p>
    <w:p>
      <w:pPr>
        <w:spacing w:after="120" w:line="276" w:lineRule="auto"/>
      </w:pPr>
      <w:r>
        <w:rPr>
          <w:color w:val="334155"/>
          <w:sz w:val="21"/>
        </w:rPr>
        <w:t>The global pre-owned automotive market experiences severe valuation inefficiencies characterized by high information asymmetry, speculative dealership margins, and intricate non-linear price depreciation dynamics. Traditional appraisal methods rely on manual trade-in guides that fail to capture the multi-dimensional interactions between vehicle age, odometer mileage, powertrain technology, ownership provenance, and brand residual equity. This final-year engineering capstone delivers AutoValuate AI, an automated, production-grade automotive market valuation system powered by machine learning regression pipelines.</w:t>
      </w:r>
    </w:p>
    <w:p>
      <w:pPr>
        <w:spacing w:after="120" w:line="276" w:lineRule="auto"/>
      </w:pPr>
      <w:r>
        <w:rPr>
          <w:color w:val="334155"/>
          <w:sz w:val="21"/>
        </w:rPr>
        <w:t>The system incorporates an end-to-end data processing and model evaluation pipeline comparing three distinct regression architectures: an Ordinary Least Squares (OLS) Linear Regressor baseline, a single CART Decision Tree Regressor, and a 150-estimator Random Forest Regressor. Evaluated on 450 verified vehicle transactions under a strict 80:20 train-test split, the Random Forest model achieves superior predictive accuracy with a test R² of 0.9723 (97.23% variance explained), a Root Mean Squared Error (RMSE) of ₹1.3989 Lakhs, and a Mean Absolute Error (MAE) of ₹0.8835 Lakhs (~$1,060 USD). Beyond scalar price predictions, the system computes 90% confidence intervals, assigns discrete value retention tiers, models a dynamic 10-year value decay trajectory, and exposes a production FastAPI microservice operating on Port 5004 coupled with an ACID-compliant SQLite audit database. The system is verified by 18 passing automated pytest cases and complete video demonstration evidence.</w:t>
      </w:r>
    </w:p>
    <w:p>
      <w:pPr>
        <w:spacing w:before="280" w:after="80"/>
      </w:pPr>
      <w:r>
        <w:rPr>
          <w:b/>
          <w:color w:val="2563EB"/>
          <w:sz w:val="30"/>
        </w:rPr>
        <w:t>1. Introduction &amp; Market Problem Statement</w:t>
      </w:r>
    </w:p>
    <w:p>
      <w:pPr>
        <w:spacing w:after="120" w:line="276" w:lineRule="auto"/>
      </w:pPr>
      <w:r>
        <w:rPr>
          <w:color w:val="334155"/>
          <w:sz w:val="21"/>
        </w:rPr>
        <w:t>The secondary automobile marketplace represents a multi-billion dollar economic engine worldwide. In India alone, used car transactions exceed new car sales by a factor of 1.4x, driven by rapid urbanization, rising disposable income, and expanding digital automotive marketplaces such as Cars24, Spinny, and CarDekho. Despite rapid market expansion, pricing in the pre-owned segment remains largely unstandardized.</w:t>
      </w:r>
    </w:p>
    <w:p>
      <w:pPr>
        <w:spacing w:after="120" w:line="276" w:lineRule="auto"/>
      </w:pPr>
      <w:r>
        <w:rPr>
          <w:color w:val="334155"/>
          <w:sz w:val="21"/>
        </w:rPr>
        <w:t>Key market bottlenecks include: (1) Severe Information Asymmetry: Uninformed consumers face arbitrary price gouging or undervalued trade-ins; (2) Dealership Spread Inefficiencies: Intermediaries capture 15% to 30% margin spreads due to lack of objective valuation standards; (3) Non-linear Depreciation: Vehicle value decays exponentially during the initial 36 months, after which mechanical reliability and brand perception dictate the long-term price curve; and (4) Financing &amp; Insurance Bottlenecks: Non-bank financial corporations (NBFCs) and insurers require rapid, automated valuation APIs to collateralize used vehicle loans and compute accurate insured declared values (IDV).</w:t>
      </w:r>
    </w:p>
    <w:p>
      <w:pPr>
        <w:spacing w:after="120" w:line="276" w:lineRule="auto"/>
      </w:pPr>
      <w:r>
        <w:rPr>
          <w:color w:val="334155"/>
          <w:sz w:val="21"/>
        </w:rPr>
        <w:t>To address these challenges, this project engineers a robust Scikit-Learn regression pipeline capable of predicting fair market value within sub-8 millisecond latencies, supported by statistical confidence boundaries and explainable feature importance weighting.</w:t>
      </w:r>
    </w:p>
    <w:p>
      <w:pPr>
        <w:spacing w:before="280" w:after="80"/>
      </w:pPr>
      <w:r>
        <w:rPr>
          <w:b/>
          <w:color w:val="2563EB"/>
          <w:sz w:val="30"/>
        </w:rPr>
        <w:t>2. Automotive Economics &amp; Price Depreciation Dynamics</w:t>
      </w:r>
    </w:p>
    <w:p>
      <w:pPr>
        <w:spacing w:after="120" w:line="276" w:lineRule="auto"/>
      </w:pPr>
      <w:r>
        <w:rPr>
          <w:color w:val="334155"/>
          <w:sz w:val="21"/>
        </w:rPr>
        <w:t>Automotive depreciation is mathematically defined as the monetary loss in vehicle value over time due to wear, obsolescence, mileage accumulation, and market sentiment. While simple accounting uses straight-line depreciation, real-world vehicle value follows an exponential decay trajectory:</w:t>
      </w:r>
    </w:p>
    <w:p>
      <w:pPr>
        <w:spacing w:after="120" w:line="276" w:lineRule="auto"/>
      </w:pPr>
      <w:r>
        <w:rPr>
          <w:color w:val="334155"/>
          <w:sz w:val="21"/>
        </w:rPr>
        <w:t>V(t) = V_0 * (1 - r)^t</w:t>
      </w:r>
    </w:p>
    <w:p>
      <w:pPr>
        <w:spacing w:after="120" w:line="276" w:lineRule="auto"/>
      </w:pPr>
      <w:r>
        <w:rPr>
          <w:color w:val="334155"/>
          <w:sz w:val="21"/>
        </w:rPr>
        <w:t>where V_0 is the original showroom price, r is the annual depreciation rate (typically 12% to 20% in early lifecycle years), and t is the elapsed vehicle age in years.</w:t>
      </w:r>
    </w:p>
    <w:p>
      <w:pPr>
        <w:spacing w:after="120" w:line="276" w:lineRule="auto"/>
      </w:pPr>
      <w:r>
        <w:rPr>
          <w:color w:val="334155"/>
          <w:sz w:val="21"/>
        </w:rPr>
        <w:t>However, parametric exponential models fail because depreciation rates fluctuate across powertrain classes and market brands. For example, diesel commercial vehicles experience high initial depreciation due to stringent environmental regulations (e.g., 10-year NCR ban), whereas reliable Japanese petrol hatchbacks (Maruti Suzuki Swift, Honda City) demonstrate exceptional value retention. Our machine learning approach captures these complex non-linear interactions without requiring rigid parametric assumptions.</w:t>
      </w:r>
    </w:p>
    <w:p>
      <w:pPr>
        <w:spacing w:before="280" w:after="80"/>
      </w:pPr>
      <w:r>
        <w:rPr>
          <w:b/>
          <w:color w:val="2563EB"/>
          <w:sz w:val="30"/>
        </w:rPr>
        <w:t>3. Used Car Sales Dataset &amp; Exploratory Data Analysis</w:t>
      </w:r>
    </w:p>
    <w:p>
      <w:pPr>
        <w:spacing w:after="120" w:line="276" w:lineRule="auto"/>
      </w:pPr>
      <w:r>
        <w:rPr>
          <w:color w:val="334155"/>
          <w:sz w:val="21"/>
        </w:rPr>
        <w:t>The system is trained and benchmarked on a curated dataset of 450 verified pre-owned car sales spanning diverse segments—from entry-level commuter hatchbacks to executive sedans and luxury full-size SUVs. The dataset incorporates nine raw dimensions:</w:t>
      </w:r>
    </w:p>
    <w:p>
      <w:pPr>
        <w:spacing w:after="120" w:line="276" w:lineRule="auto"/>
      </w:pPr>
      <w:r>
        <w:rPr>
          <w:color w:val="334155"/>
          <w:sz w:val="21"/>
        </w:rPr>
        <w:t>• Car_Name: Free-text vehicle name and model variant (e.g., 'ritz', 'sx4', 'city', 'innova', 'fortuner').</w:t>
      </w:r>
    </w:p>
    <w:p>
      <w:pPr>
        <w:spacing w:after="120" w:line="276" w:lineRule="auto"/>
      </w:pPr>
      <w:r>
        <w:rPr>
          <w:color w:val="334155"/>
          <w:sz w:val="21"/>
        </w:rPr>
        <w:t>• Year: Year of manufacturing (ranging from 2003 to 2018).</w:t>
      </w:r>
    </w:p>
    <w:p>
      <w:pPr>
        <w:spacing w:after="120" w:line="276" w:lineRule="auto"/>
      </w:pPr>
      <w:r>
        <w:rPr>
          <w:color w:val="334155"/>
          <w:sz w:val="21"/>
        </w:rPr>
        <w:t>• Selling_Price (Target): Historical transaction price in Lakhs (₹100,000 INR).</w:t>
      </w:r>
    </w:p>
    <w:p>
      <w:pPr>
        <w:spacing w:after="120" w:line="276" w:lineRule="auto"/>
      </w:pPr>
      <w:r>
        <w:rPr>
          <w:color w:val="334155"/>
          <w:sz w:val="21"/>
        </w:rPr>
        <w:t>• Present_Price: Original ex-showroom showroom price when new, in Lakhs.</w:t>
      </w:r>
    </w:p>
    <w:p>
      <w:pPr>
        <w:spacing w:after="120" w:line="276" w:lineRule="auto"/>
      </w:pPr>
      <w:r>
        <w:rPr>
          <w:color w:val="334155"/>
          <w:sz w:val="21"/>
        </w:rPr>
        <w:t>• Kms_Driven: Cumulative odometer distance recorded in kilometers (500 km to 500,000 km).</w:t>
      </w:r>
    </w:p>
    <w:p>
      <w:pPr>
        <w:spacing w:after="120" w:line="276" w:lineRule="auto"/>
      </w:pPr>
      <w:r>
        <w:rPr>
          <w:color w:val="334155"/>
          <w:sz w:val="21"/>
        </w:rPr>
        <w:t>• Fuel_Type: Powertrain fuel category (Petrol: 78.3%, Diesel: 20.3%, CNG: 1.4%).</w:t>
      </w:r>
    </w:p>
    <w:p>
      <w:pPr>
        <w:spacing w:after="120" w:line="276" w:lineRule="auto"/>
      </w:pPr>
      <w:r>
        <w:rPr>
          <w:color w:val="334155"/>
          <w:sz w:val="21"/>
        </w:rPr>
        <w:t>• Seller_Type: Sales channel (Dealer: 64.8%, Individual: 35.2%).</w:t>
      </w:r>
    </w:p>
    <w:p>
      <w:pPr>
        <w:spacing w:after="120" w:line="276" w:lineRule="auto"/>
      </w:pPr>
      <w:r>
        <w:rPr>
          <w:color w:val="334155"/>
          <w:sz w:val="21"/>
        </w:rPr>
        <w:t>• Transmission: Gearbox configuration (Manual: 86.4%, Automatic: 13.6%).</w:t>
      </w:r>
    </w:p>
    <w:p>
      <w:pPr>
        <w:spacing w:after="120" w:line="276" w:lineRule="auto"/>
      </w:pPr>
      <w:r>
        <w:rPr>
          <w:color w:val="334155"/>
          <w:sz w:val="21"/>
        </w:rPr>
        <w:t>• Owner: Count of previous legal title transfers (0, 1, 2, 3+).</w:t>
      </w:r>
    </w:p>
    <w:p>
      <w:pPr>
        <w:spacing w:after="120" w:line="276" w:lineRule="auto"/>
      </w:pPr>
      <w:r>
        <w:rPr>
          <w:color w:val="334155"/>
          <w:sz w:val="21"/>
        </w:rPr>
        <w:t>Statistical analysis reveals that Selling_Price correlates most strongly with Present_Price (Pearson r = 0.88) and negatively with Car_Age (Pearson r = -0.42) and Kms_Driven (Pearson r = -0.38).</w:t>
      </w:r>
    </w:p>
    <w:p>
      <w:pPr>
        <w:spacing w:before="280" w:after="80"/>
      </w:pPr>
      <w:r>
        <w:rPr>
          <w:b/>
          <w:color w:val="2563EB"/>
          <w:sz w:val="30"/>
        </w:rPr>
        <w:t>4. Feature Engineering &amp; Preprocessing Pipeline</w:t>
      </w:r>
    </w:p>
    <w:p>
      <w:pPr>
        <w:spacing w:after="120" w:line="276" w:lineRule="auto"/>
      </w:pPr>
      <w:r>
        <w:rPr>
          <w:color w:val="334155"/>
          <w:sz w:val="21"/>
        </w:rPr>
        <w:t>To ensure generalizability and eliminate numerical instability during model training, raw inputs undergo automated transformation through a Scikit-Learn ColumnTransformer pipeline:</w:t>
      </w:r>
    </w:p>
    <w:p>
      <w:pPr>
        <w:spacing w:after="120" w:line="276" w:lineRule="auto"/>
      </w:pPr>
      <w:r>
        <w:rPr>
          <w:color w:val="334155"/>
          <w:sz w:val="21"/>
        </w:rPr>
        <w:t>1. Vehicle Age Derivation: Car_Age = 2024 - Year. This normalizes chronological timestamps into a direct elapsed wear factor.</w:t>
      </w:r>
    </w:p>
    <w:p>
      <w:pPr>
        <w:spacing w:after="120" w:line="276" w:lineRule="auto"/>
      </w:pPr>
      <w:r>
        <w:rPr>
          <w:color w:val="334155"/>
          <w:sz w:val="21"/>
        </w:rPr>
        <w:t>2. Brand Equity Extraction: Tokenizes Car_Name to isolate the primary manufacturer brand (e.g., 'Maruti', 'Hyundai', 'Honda', 'Toyota', 'BMW'). This captures crucial residual brand value differences.</w:t>
      </w:r>
    </w:p>
    <w:p>
      <w:pPr>
        <w:spacing w:after="120" w:line="276" w:lineRule="auto"/>
      </w:pPr>
      <w:r>
        <w:rPr>
          <w:color w:val="334155"/>
          <w:sz w:val="21"/>
        </w:rPr>
        <w:t>3. Continuous Feature Standardization: Applies StandardScaler to [Car_Age, Present_Price, Kms_Driven, Owner] to enforce zero mean and unit variance, preventing high-magnitude odometer values from distorting distance metrics.</w:t>
      </w:r>
    </w:p>
    <w:p>
      <w:pPr>
        <w:spacing w:after="120" w:line="276" w:lineRule="auto"/>
      </w:pPr>
      <w:r>
        <w:rPr>
          <w:color w:val="334155"/>
          <w:sz w:val="21"/>
        </w:rPr>
        <w:t>4. Categorical Feature One-Hot Encoding: Applies OneHotEncoder with handle_unknown='ignore' to [Fuel_Type, Seller_Type, Transmission, Brand]. This maps the 8 raw inputs into a 22-dimensional numerical feature space.</w:t>
      </w:r>
    </w:p>
    <w:p>
      <w:pPr>
        <w:spacing w:after="120" w:line="276" w:lineRule="auto"/>
      </w:pPr>
      <w:r>
        <w:rPr>
          <w:color w:val="334155"/>
          <w:sz w:val="21"/>
        </w:rPr>
        <w:t>5. Data Leakage Prevention: Preprocessors are fit strictly on the 80% training partition (360 samples) and applied identically to the 20% test partition (90 samples).</w:t>
      </w:r>
    </w:p>
    <w:p>
      <w:pPr>
        <w:spacing w:before="280" w:after="80"/>
      </w:pPr>
      <w:r>
        <w:rPr>
          <w:b/>
          <w:color w:val="2563EB"/>
          <w:sz w:val="30"/>
        </w:rPr>
        <w:t>5. Machine Learning Regression Algorithms</w:t>
      </w:r>
    </w:p>
    <w:p>
      <w:pPr>
        <w:spacing w:after="120" w:line="276" w:lineRule="auto"/>
      </w:pPr>
      <w:r>
        <w:rPr>
          <w:color w:val="334155"/>
          <w:sz w:val="21"/>
        </w:rPr>
        <w:t>Three distinct regression algorithms were implemented, tuned, and evaluated:</w:t>
      </w:r>
    </w:p>
    <w:p>
      <w:pPr>
        <w:spacing w:after="120" w:line="276" w:lineRule="auto"/>
      </w:pPr>
      <w:r>
        <w:rPr>
          <w:color w:val="334155"/>
          <w:sz w:val="21"/>
        </w:rPr>
        <w:t>1. Random Forest Regressor: An ensemble of 150 de-correlated decision trees constructed via bootstrap aggregating (bagging). At each node split, a random subset of features is evaluated to minimize correlation between individual trees. Predictions represent the ensemble mean: y_pred = (1/B) * sum(T_b(x)). Constraining maximum depth to 12 prevents individual tree overfitting while maintaining non-linear expressiveness.</w:t>
      </w:r>
    </w:p>
    <w:p>
      <w:pPr>
        <w:spacing w:after="120" w:line="276" w:lineRule="auto"/>
      </w:pPr>
      <w:r>
        <w:rPr>
          <w:color w:val="334155"/>
          <w:sz w:val="21"/>
        </w:rPr>
        <w:t>2. Decision Tree Regressor: A non-parametric supervised learner utilizing the CART (Classification and Regression Trees) algorithm. Minimizes Mean Squared Error (MSE) at each binary partition. Hyperparameters: max_depth=7, min_samples_split=4.</w:t>
      </w:r>
    </w:p>
    <w:p>
      <w:pPr>
        <w:spacing w:after="120" w:line="276" w:lineRule="auto"/>
      </w:pPr>
      <w:r>
        <w:rPr>
          <w:color w:val="334155"/>
          <w:sz w:val="21"/>
        </w:rPr>
        <w:t>3. Ordinary Least Squares (OLS) Linear Regression: A standard linear baseline modeling y = X * beta + epsilon, solved via the closed-form normal equation beta = (X^T X)^-1 X^T y. Provides the linear lower bound.</w:t>
      </w:r>
    </w:p>
    <w:p>
      <w:pPr>
        <w:spacing w:before="280" w:after="80"/>
      </w:pPr>
      <w:r>
        <w:rPr>
          <w:b/>
          <w:color w:val="2563EB"/>
          <w:sz w:val="30"/>
        </w:rPr>
        <w:t>6. Experimental Results &amp; Comparative Benchmark Evaluation</w:t>
      </w:r>
    </w:p>
    <w:p>
      <w:pPr>
        <w:spacing w:after="120" w:line="276" w:lineRule="auto"/>
      </w:pPr>
      <w:r>
        <w:rPr>
          <w:color w:val="334155"/>
          <w:sz w:val="21"/>
        </w:rPr>
        <w:t>Model performance was evaluated on the identical 90-sample held-out test split using standard regression metrics: Coefficient of Determination (R²), Root Mean Squared Error (RMSE), and Mean Absolute Error (MAE):</w:t>
      </w:r>
    </w:p>
    <w:p>
      <w:pPr>
        <w:spacing w:after="120" w:line="276" w:lineRule="auto"/>
      </w:pPr>
      <w:r>
        <w:rPr>
          <w:color w:val="334155"/>
          <w:sz w:val="21"/>
        </w:rPr>
        <w:t>• Random Forest Regressor: Train R² = 0.9922, Test R² = 0.9723, Test RMSE = ₹1.3989L, Test MAE = ₹0.8835L, Generalization Gap = 0.0199.</w:t>
      </w:r>
    </w:p>
    <w:p>
      <w:pPr>
        <w:spacing w:after="120" w:line="276" w:lineRule="auto"/>
      </w:pPr>
      <w:r>
        <w:rPr>
          <w:color w:val="334155"/>
          <w:sz w:val="21"/>
        </w:rPr>
        <w:t>• Decision Tree Regressor: Train R² = 0.9910, Test R² = 0.9525, Test RMSE = ₹1.8307L, Test MAE = ₹1.1746L, Generalization Gap = 0.0385.</w:t>
      </w:r>
    </w:p>
    <w:p>
      <w:pPr>
        <w:spacing w:after="120" w:line="276" w:lineRule="auto"/>
      </w:pPr>
      <w:r>
        <w:rPr>
          <w:color w:val="334155"/>
          <w:sz w:val="21"/>
        </w:rPr>
        <w:t>• Linear Regression (OLS): Train R² = 0.8856, Test R² = 0.8968, Test RMSE = ₹2.6989L, Test MAE = ₹1.7214L, Generalization Gap = -0.0112.</w:t>
      </w:r>
    </w:p>
    <w:p>
      <w:pPr>
        <w:spacing w:after="120" w:line="276" w:lineRule="auto"/>
      </w:pPr>
      <w:r>
        <w:rPr>
          <w:color w:val="334155"/>
          <w:sz w:val="21"/>
        </w:rPr>
        <w:t>The Random Forest ensemble outperforms Linear Regression by reducing RMSE by 48.2% and MAE by 48.7%, confirming that vehicle depreciation contains substantial non-linear curvatures that linear models cannot adequately represent.</w:t>
      </w:r>
    </w:p>
    <w:p>
      <w:pPr>
        <w:spacing w:before="280" w:after="80"/>
      </w:pPr>
      <w:r>
        <w:rPr>
          <w:b/>
          <w:color w:val="2563EB"/>
          <w:sz w:val="30"/>
        </w:rPr>
        <w:t>7. Feature Importance Hierarchy &amp; Mathematical Interpretability</w:t>
      </w:r>
    </w:p>
    <w:p>
      <w:pPr>
        <w:spacing w:after="120" w:line="276" w:lineRule="auto"/>
      </w:pPr>
      <w:r>
        <w:rPr>
          <w:color w:val="334155"/>
          <w:sz w:val="21"/>
        </w:rPr>
        <w:t>Feature importances were computed using Mean Decrease in Impurity (MDI / Gini Importance) across the 150 fitted estimators in the Random Forest model:</w:t>
      </w:r>
    </w:p>
    <w:p>
      <w:pPr>
        <w:spacing w:after="120" w:line="276" w:lineRule="auto"/>
      </w:pPr>
      <w:r>
        <w:rPr>
          <w:color w:val="334155"/>
          <w:sz w:val="21"/>
        </w:rPr>
        <w:t>1. Original Showroom Price (Present_Price): 75.14% relative importance. Showroom cost sets the base anchor magnitude for the vehicle asset.</w:t>
      </w:r>
    </w:p>
    <w:p>
      <w:pPr>
        <w:spacing w:after="120" w:line="276" w:lineRule="auto"/>
      </w:pPr>
      <w:r>
        <w:rPr>
          <w:color w:val="334155"/>
          <w:sz w:val="21"/>
        </w:rPr>
        <w:t>2. Vehicle Age (Car_Age): 13.30% relative importance. Primary temporal degradation variable.</w:t>
      </w:r>
    </w:p>
    <w:p>
      <w:pPr>
        <w:spacing w:after="120" w:line="276" w:lineRule="auto"/>
      </w:pPr>
      <w:r>
        <w:rPr>
          <w:color w:val="334155"/>
          <w:sz w:val="21"/>
        </w:rPr>
        <w:t>3. Kilometers Driven (Kms_Driven): 9.31% relative importance. Direct proxy for mechanical and structural wear.</w:t>
      </w:r>
    </w:p>
    <w:p>
      <w:pPr>
        <w:spacing w:after="120" w:line="276" w:lineRule="auto"/>
      </w:pPr>
      <w:r>
        <w:rPr>
          <w:color w:val="334155"/>
          <w:sz w:val="21"/>
        </w:rPr>
        <w:t>4. Manufacturer Brand: 1.32% relative importance. Quantifies brand resale equity (e.g., Toyota vs. European luxury).</w:t>
      </w:r>
    </w:p>
    <w:p>
      <w:pPr>
        <w:spacing w:after="120" w:line="276" w:lineRule="auto"/>
      </w:pPr>
      <w:r>
        <w:rPr>
          <w:color w:val="334155"/>
          <w:sz w:val="21"/>
        </w:rPr>
        <w:t>5. Ownership Count (Owner): 0.33% relative importance.</w:t>
      </w:r>
    </w:p>
    <w:p>
      <w:pPr>
        <w:spacing w:after="120" w:line="276" w:lineRule="auto"/>
      </w:pPr>
      <w:r>
        <w:rPr>
          <w:color w:val="334155"/>
          <w:sz w:val="21"/>
        </w:rPr>
        <w:t>6. Seller Channel (Seller_Type): 0.20% relative importance.</w:t>
      </w:r>
    </w:p>
    <w:p>
      <w:pPr>
        <w:spacing w:after="120" w:line="276" w:lineRule="auto"/>
      </w:pPr>
      <w:r>
        <w:rPr>
          <w:color w:val="334155"/>
          <w:sz w:val="21"/>
        </w:rPr>
        <w:t>7. Transmission Type: 0.20% relative importance.</w:t>
      </w:r>
    </w:p>
    <w:p>
      <w:pPr>
        <w:spacing w:after="120" w:line="276" w:lineRule="auto"/>
      </w:pPr>
      <w:r>
        <w:rPr>
          <w:color w:val="334155"/>
          <w:sz w:val="21"/>
        </w:rPr>
        <w:t>8. Fuel Powertrain: 0.20% relative importance.</w:t>
      </w:r>
    </w:p>
    <w:p>
      <w:pPr>
        <w:spacing w:before="280" w:after="80"/>
      </w:pPr>
      <w:r>
        <w:rPr>
          <w:b/>
          <w:color w:val="2563EB"/>
          <w:sz w:val="30"/>
        </w:rPr>
        <w:t>8. Production Software Architecture &amp; FastAPI Microservice</w:t>
      </w:r>
    </w:p>
    <w:p>
      <w:pPr>
        <w:spacing w:after="120" w:line="276" w:lineRule="auto"/>
      </w:pPr>
      <w:r>
        <w:rPr>
          <w:color w:val="334155"/>
          <w:sz w:val="21"/>
        </w:rPr>
        <w:t>The production software is architected as an asynchronous microservice using FastAPI, running on Port 5004:</w:t>
      </w:r>
    </w:p>
    <w:p>
      <w:pPr>
        <w:spacing w:after="120" w:line="276" w:lineRule="auto"/>
      </w:pPr>
      <w:r>
        <w:rPr>
          <w:color w:val="334155"/>
          <w:sz w:val="21"/>
        </w:rPr>
        <w:t>• GET /api/health: System operational heartbeat and loaded model catalog.</w:t>
      </w:r>
    </w:p>
    <w:p>
      <w:pPr>
        <w:spacing w:after="120" w:line="276" w:lineRule="auto"/>
      </w:pPr>
      <w:r>
        <w:rPr>
          <w:color w:val="334155"/>
          <w:sz w:val="21"/>
        </w:rPr>
        <w:t>• GET /api/presets: Curated preset vehicles for instant demonstration (Maruti Swift, Honda City, Hyundai Creta, Toyota Fortuner, BMW 3 Series).</w:t>
      </w:r>
    </w:p>
    <w:p>
      <w:pPr>
        <w:spacing w:after="120" w:line="276" w:lineRule="auto"/>
      </w:pPr>
      <w:r>
        <w:rPr>
          <w:color w:val="334155"/>
          <w:sz w:val="21"/>
        </w:rPr>
        <w:t>• POST /api/predict: Executes regression pipeline, computes 90% confidence bounds (using z=1.645 * scaled RMSE), assigns value retention tiers, and logs transaction to SQLite.</w:t>
      </w:r>
    </w:p>
    <w:p>
      <w:pPr>
        <w:spacing w:after="120" w:line="276" w:lineRule="auto"/>
      </w:pPr>
      <w:r>
        <w:rPr>
          <w:color w:val="334155"/>
          <w:sz w:val="21"/>
        </w:rPr>
        <w:t>• GET /api/info: Serialized model hyperparameters, evaluation metrics, and feature importances.</w:t>
      </w:r>
    </w:p>
    <w:p>
      <w:pPr>
        <w:spacing w:after="120" w:line="276" w:lineRule="auto"/>
      </w:pPr>
      <w:r>
        <w:rPr>
          <w:color w:val="334155"/>
          <w:sz w:val="21"/>
        </w:rPr>
        <w:t>• GET /api/history &amp; DELETE /api/history: Full transactional CRUD operations on predictions.db.</w:t>
      </w:r>
    </w:p>
    <w:p>
      <w:pPr>
        <w:spacing w:after="120" w:line="276" w:lineRule="auto"/>
      </w:pPr>
      <w:r>
        <w:rPr>
          <w:color w:val="334155"/>
          <w:sz w:val="21"/>
        </w:rPr>
        <w:t>• GET /api/analytics: Aggregate market metrics including average predicted price, depreciation rates, and brand counts.</w:t>
      </w:r>
    </w:p>
    <w:p>
      <w:pPr>
        <w:spacing w:after="120" w:line="276" w:lineRule="auto"/>
      </w:pPr>
      <w:r>
        <w:rPr>
          <w:color w:val="334155"/>
          <w:sz w:val="21"/>
        </w:rPr>
        <w:t>• GET /api/dataset/sample: Paginated view of historical sales records.</w:t>
      </w:r>
    </w:p>
    <w:p>
      <w:pPr>
        <w:spacing w:before="280" w:after="80"/>
      </w:pPr>
      <w:r>
        <w:rPr>
          <w:b/>
          <w:color w:val="2563EB"/>
          <w:sz w:val="30"/>
        </w:rPr>
        <w:t>9. Interactive Web Dashboard &amp; Decision Support Interface</w:t>
      </w:r>
    </w:p>
    <w:p>
      <w:pPr>
        <w:spacing w:after="120" w:line="276" w:lineRule="auto"/>
      </w:pPr>
      <w:r>
        <w:rPr>
          <w:color w:val="334155"/>
          <w:sz w:val="21"/>
        </w:rPr>
        <w:t>The user interface is built as a responsive single-page web portal with six dedicated operational views: (1) Valuation Engine with one-click presets and dynamic 10-year depreciation trajectory bars; (2) Model Benchmarks comparison cards; (3) Feature Importance percentage progress visualizers; (4) SQLite Transactional History viewer with record deletion; (5) Dataset Explorer sampling 450 vehicle records; and (6) OpenAPI Interactive REST Documentation.</w:t>
      </w:r>
    </w:p>
    <w:p>
      <w:pPr>
        <w:spacing w:before="280" w:after="80"/>
      </w:pPr>
      <w:r>
        <w:rPr>
          <w:b/>
          <w:color w:val="2563EB"/>
          <w:sz w:val="30"/>
        </w:rPr>
        <w:t>10. Automated Software QA Testing &amp; Verification</w:t>
      </w:r>
    </w:p>
    <w:p>
      <w:pPr>
        <w:spacing w:after="120" w:line="276" w:lineRule="auto"/>
      </w:pPr>
      <w:r>
        <w:rPr>
          <w:color w:val="334155"/>
          <w:sz w:val="21"/>
        </w:rPr>
        <w:t>Quality assurance is verified by an automated pytest test suite (test_api_and_model.py) comprising 18 comprehensive tests:</w:t>
      </w:r>
    </w:p>
    <w:p>
      <w:pPr>
        <w:spacing w:after="120" w:line="276" w:lineRule="auto"/>
      </w:pPr>
      <w:r>
        <w:rPr>
          <w:color w:val="334155"/>
          <w:sz w:val="21"/>
        </w:rPr>
        <w:t>• Test 1-3: Model artifact loading, Random Forest estimator fitting verification (150 trees), and metric reproducibility on test data.</w:t>
      </w:r>
    </w:p>
    <w:p>
      <w:pPr>
        <w:spacing w:after="120" w:line="276" w:lineRule="auto"/>
      </w:pPr>
      <w:r>
        <w:rPr>
          <w:color w:val="334155"/>
          <w:sz w:val="21"/>
        </w:rPr>
        <w:t>• Test 4-6: FastAPI health check, metadata schema verification, and multi-algorithm inference validation.</w:t>
      </w:r>
    </w:p>
    <w:p>
      <w:pPr>
        <w:spacing w:after="120" w:line="276" w:lineRule="auto"/>
      </w:pPr>
      <w:r>
        <w:rPr>
          <w:color w:val="334155"/>
          <w:sz w:val="21"/>
        </w:rPr>
        <w:t>• Test 7: Pydantic negative boundary validation (12 error cases: negative prices, odometer &gt; 500,000 km, invalid fuels).</w:t>
      </w:r>
    </w:p>
    <w:p>
      <w:pPr>
        <w:spacing w:after="120" w:line="276" w:lineRule="auto"/>
      </w:pPr>
      <w:r>
        <w:rPr>
          <w:color w:val="334155"/>
          <w:sz w:val="21"/>
        </w:rPr>
        <w:t>• Test 8: SQLite database CRUD persistence and record deletion.</w:t>
      </w:r>
    </w:p>
    <w:p>
      <w:pPr>
        <w:spacing w:after="120" w:line="276" w:lineRule="auto"/>
      </w:pPr>
      <w:r>
        <w:rPr>
          <w:color w:val="334155"/>
          <w:sz w:val="21"/>
        </w:rPr>
        <w:t>• Test 9-11: Dataset sampling, presets endpoint, and analytics aggregation.</w:t>
      </w:r>
    </w:p>
    <w:p>
      <w:pPr>
        <w:spacing w:after="120" w:line="276" w:lineRule="auto"/>
      </w:pPr>
      <w:r>
        <w:rPr>
          <w:color w:val="334155"/>
          <w:sz w:val="21"/>
        </w:rPr>
        <w:t>• Test 12-14: HTML portal delivery, preset vehicle valuations, and feature importance consistency.</w:t>
      </w:r>
    </w:p>
    <w:p>
      <w:pPr>
        <w:spacing w:after="120" w:line="276" w:lineRule="auto"/>
      </w:pPr>
      <w:r>
        <w:rPr>
          <w:color w:val="334155"/>
          <w:sz w:val="21"/>
        </w:rPr>
        <w:t>• Test 15-18: Decision tree depth verification (depth &lt;= 8, 22 one-hot features), linear regression coefficients, extreme depreciation on high age/mileage, and history table reset.</w:t>
      </w:r>
    </w:p>
    <w:p>
      <w:pPr>
        <w:spacing w:after="120" w:line="276" w:lineRule="auto"/>
      </w:pPr>
      <w:r>
        <w:rPr>
          <w:color w:val="334155"/>
          <w:sz w:val="21"/>
        </w:rPr>
        <w:t>All 18 tests execute in 2.51 seconds with a 100% pass rate.</w:t>
      </w:r>
    </w:p>
    <w:p>
      <w:pPr>
        <w:spacing w:before="280" w:after="80"/>
      </w:pPr>
      <w:r>
        <w:rPr>
          <w:b/>
          <w:color w:val="2563EB"/>
          <w:sz w:val="30"/>
        </w:rPr>
        <w:t>11. Conclusion &amp; Future Roadmap</w:t>
      </w:r>
    </w:p>
    <w:p>
      <w:pPr>
        <w:spacing w:after="120" w:line="276" w:lineRule="auto"/>
      </w:pPr>
      <w:r>
        <w:rPr>
          <w:color w:val="334155"/>
          <w:sz w:val="21"/>
        </w:rPr>
        <w:t>This capstone engineering project successfully implements, evaluates, and deploys a production-grade machine learning system for pre-owned automotive valuation. Achieving 97.23% R² accuracy, sub-8ms latency, and full audit logging, AutoValuate AI provides an objective, transparent benchmark for used vehicle pricing.</w:t>
      </w:r>
    </w:p>
    <w:p>
      <w:pPr>
        <w:spacing w:after="120" w:line="276" w:lineRule="auto"/>
      </w:pPr>
      <w:r>
        <w:rPr>
          <w:color w:val="334155"/>
          <w:sz w:val="21"/>
        </w:rPr>
        <w:t>Future engineering enhancements include: (1) Computer Vision integration using YOLOv8 to detect exterior scratches, body panel dents, and paint damage from smartphone photos to compute direct cosmetic penalty deductions; (2) Live OBD-II IoT telemetry integration for real-time engine health scoring; and (3) Regional RTO registration demand indexing across Indian metropolitan states.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