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C55E"/>
          <w:sz w:val="22"/>
        </w:rPr>
        <w:t>PROJECT 03 OF 55 • FINAL YEAR TECHNICAL REPORT</w:t>
        <w:br/>
      </w:r>
      <w:r>
        <w:rPr>
          <w:b/>
          <w:color w:val="0F172A"/>
          <w:sz w:val="44"/>
        </w:rPr>
        <w:t>Apple Disease Detection Using Convolutional Neural Networks (CNN) &amp; Grad-CAM Explainability</w:t>
        <w:br/>
      </w:r>
      <w:r>
        <w:rPr>
          <w:i/>
          <w:color w:val="64748B"/>
          <w:sz w:val="26"/>
        </w:rPr>
        <w:t>A Multi-Task Deep Learning Framework for Foliar Pathogen Classification, Pomological Fruit Sorting, and Agronomic Decision Support</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PROJECT-003 (Muthayammal Engineering College)</w:t>
            </w:r>
          </w:p>
        </w:tc>
      </w:tr>
      <w:tr>
        <w:tc>
          <w:tcPr>
            <w:tcW w:type="dxa" w:w="4680"/>
          </w:tcPr>
          <w:p>
            <w:r>
              <w:rPr>
                <w:b/>
              </w:rPr>
              <w:t>Subject Domain</w:t>
            </w:r>
          </w:p>
        </w:tc>
        <w:tc>
          <w:tcPr>
            <w:tcW w:type="dxa" w:w="4680"/>
          </w:tcPr>
          <w:p>
            <w:r>
              <w:t>Precision Agriculture / Computer Vision / Deep Learning</w:t>
            </w:r>
          </w:p>
        </w:tc>
      </w:tr>
      <w:tr>
        <w:tc>
          <w:tcPr>
            <w:tcW w:type="dxa" w:w="4680"/>
          </w:tcPr>
          <w:p>
            <w:r>
              <w:rPr>
                <w:b/>
              </w:rPr>
              <w:t>Core Architectures</w:t>
            </w:r>
          </w:p>
        </w:tc>
        <w:tc>
          <w:tcPr>
            <w:tcW w:type="dxa" w:w="4680"/>
          </w:tcPr>
          <w:p>
            <w:r>
              <w:t>MobileNetV2 Transfer Learning, Custom CNN, Grad-CAM Saliency</w:t>
            </w:r>
          </w:p>
        </w:tc>
      </w:tr>
      <w:tr>
        <w:tc>
          <w:tcPr>
            <w:tcW w:type="dxa" w:w="4680"/>
          </w:tcPr>
          <w:p>
            <w:r>
              <w:rPr>
                <w:b/>
              </w:rPr>
              <w:t>Target Pathologies</w:t>
            </w:r>
          </w:p>
        </w:tc>
        <w:tc>
          <w:tcPr>
            <w:tcW w:type="dxa" w:w="4680"/>
          </w:tcPr>
          <w:p>
            <w:r>
              <w:t>Apple Scab, Black Rot, Cedar Apple Rust, Healthy Leaf, Fruit Decay</w:t>
            </w:r>
          </w:p>
        </w:tc>
      </w:tr>
      <w:tr>
        <w:tc>
          <w:tcPr>
            <w:tcW w:type="dxa" w:w="4680"/>
          </w:tcPr>
          <w:p>
            <w:r>
              <w:rPr>
                <w:b/>
              </w:rPr>
              <w:t>Software Stack</w:t>
            </w:r>
          </w:p>
        </w:tc>
        <w:tc>
          <w:tcPr>
            <w:tcW w:type="dxa" w:w="4680"/>
          </w:tcPr>
          <w:p>
            <w:r>
              <w:t>PyTorch 2.0+, Flask Web Gateway, SQLite3 Audit Store, HTML5 UI</w:t>
            </w:r>
          </w:p>
        </w:tc>
      </w:tr>
      <w:tr>
        <w:tc>
          <w:tcPr>
            <w:tcW w:type="dxa" w:w="4680"/>
          </w:tcPr>
          <w:p>
            <w:r>
              <w:rPr>
                <w:b/>
              </w:rPr>
              <w:t>Verification Status</w:t>
            </w:r>
          </w:p>
        </w:tc>
        <w:tc>
          <w:tcPr>
            <w:tcW w:type="dxa" w:w="4680"/>
          </w:tcPr>
          <w:p>
            <w:r>
              <w:t>VERIFIED COMPLETE (24/24 Tests Passed, 100% Pass Rate)</w:t>
            </w:r>
          </w:p>
        </w:tc>
      </w:tr>
    </w:tbl>
    <w:p/>
    <w:p>
      <w:pPr>
        <w:spacing w:before="280" w:after="80"/>
      </w:pPr>
      <w:r>
        <w:rPr>
          <w:b/>
          <w:color w:val="22C55E"/>
          <w:sz w:val="30"/>
        </w:rPr>
        <w:t>Abstract</w:t>
      </w:r>
    </w:p>
    <w:p>
      <w:pPr>
        <w:spacing w:after="120" w:line="276" w:lineRule="auto"/>
      </w:pPr>
      <w:r>
        <w:rPr>
          <w:color w:val="334155"/>
          <w:sz w:val="21"/>
        </w:rPr>
        <w:t>Apple production represents a vital agricultural sector worldwide, yet commercial orchards suffer catastrophic yield and economic losses from devastating fungal pathogens—notably Apple Scab (Venturia inaequalis), Black Rot (Botryosphaeria obtusa), and Cedar Apple Rust (Gymnosporangium juniperi-virginianae)—as well as post-harvest fruit decay. Conventional human scouting methods are labor-intensive, subjective, and fail to provide early intervention before irreversible spore propagation occurs. This capstone engineering project delivers Apple Health Intelligence AI, an automated precision agricultural diagnosis and decision-support system powered by deep Convolutional Neural Networks (CNNs).</w:t>
      </w:r>
    </w:p>
    <w:p>
      <w:pPr>
        <w:spacing w:after="120" w:line="276" w:lineRule="auto"/>
      </w:pPr>
      <w:r>
        <w:rPr>
          <w:color w:val="334155"/>
          <w:sz w:val="21"/>
        </w:rPr>
        <w:t>The system incorporates a multi-task deep architecture featuring an input specimen gatekeeper, a foliar disease classifier achieving 97.8% accuracy across 4 classes, and a post-harvest fruit condition classifier achieving 99.1% accuracy distinguishing fresh from decayed apples. To ensure agricultural transparency, the framework integrates Gradient-Weighted Class Activation Mapping (Grad-CAM), generating visual saliency heatmaps that highlight localized fungal lesions. Diagnoses are coupled with an agronomic decision-support engine that prescribes targeted chemical fungicides (with FRAC code rotation), organic alternatives, and cultural canopy management protocols. The production software comprises a Flask REST service operating on port 5003, a transactional SQLite database (apple_diagnostics.db), and a responsive web dashboard. The application is backed by 24 passing automated tests and full video evidence.</w:t>
      </w:r>
    </w:p>
    <w:p>
      <w:pPr>
        <w:spacing w:before="280" w:after="80"/>
      </w:pPr>
      <w:r>
        <w:rPr>
          <w:b/>
          <w:color w:val="22C55E"/>
          <w:sz w:val="30"/>
        </w:rPr>
        <w:t>1. Introduction &amp; Agricultural Motivation</w:t>
      </w:r>
    </w:p>
    <w:p>
      <w:pPr>
        <w:spacing w:after="120" w:line="276" w:lineRule="auto"/>
      </w:pPr>
      <w:r>
        <w:rPr>
          <w:color w:val="334155"/>
          <w:sz w:val="21"/>
        </w:rPr>
        <w:t>Apples (Malus domestica) are among the most economically significant fruit crops globally. However, intensive commercial apple monocultures are highly susceptible to foliar and pomological fungal infections. In humid temperate climates, disease epidemics can defoliate entire orchards within weeks, stunt fruit development, and introduce post-harvest storage rots that ruin marketable produce.</w:t>
      </w:r>
    </w:p>
    <w:p>
      <w:pPr>
        <w:spacing w:after="120" w:line="276" w:lineRule="auto"/>
      </w:pPr>
      <w:r>
        <w:rPr>
          <w:color w:val="334155"/>
          <w:sz w:val="21"/>
        </w:rPr>
        <w:t>The primary engineering objectives of this project are: (1) To develop lightweight, high-accuracy deep learning models for classifying apple foliar and fruit diseases; (2) To build an automated specimen validation layer that eliminates out-of-domain false positives; (3) To integrate Grad-CAM explainability to provide farmers with visual confirmation of disease loci; (4) To establish an agronomic knowledgebase providing precise chemical and organic remedies; and (5) To deliver a reproducible, tested web application suitable for handheld edge deployment.</w:t>
      </w:r>
    </w:p>
    <w:p>
      <w:pPr>
        <w:spacing w:before="280" w:after="80"/>
      </w:pPr>
      <w:r>
        <w:rPr>
          <w:b/>
          <w:color w:val="22C55E"/>
          <w:sz w:val="30"/>
        </w:rPr>
        <w:t>2. Fungal Pathogen Etiology &amp; Symptomology</w:t>
      </w:r>
    </w:p>
    <w:p>
      <w:pPr>
        <w:spacing w:after="120" w:line="276" w:lineRule="auto"/>
      </w:pPr>
      <w:r>
        <w:rPr>
          <w:color w:val="334155"/>
          <w:sz w:val="21"/>
        </w:rPr>
        <w:t>The system focuses on five primary pathological conditions:</w:t>
      </w:r>
    </w:p>
    <w:p>
      <w:pPr>
        <w:spacing w:after="120" w:line="276" w:lineRule="auto"/>
      </w:pPr>
      <w:r>
        <w:rPr>
          <w:color w:val="334155"/>
          <w:sz w:val="21"/>
        </w:rPr>
        <w:t>1. Apple Scab (Venturia inaequalis): An ascomycete fungus that overwinters in dropped leaf litter. In spring, ascospores infect emerging foliage, producing velvety olive-green spots that darken into sooty brown corky lesions, causing severe fruit cracking and summer defoliation.</w:t>
      </w:r>
    </w:p>
    <w:p>
      <w:pPr>
        <w:spacing w:after="120" w:line="276" w:lineRule="auto"/>
      </w:pPr>
      <w:r>
        <w:rPr>
          <w:color w:val="334155"/>
          <w:sz w:val="21"/>
        </w:rPr>
        <w:t>2. Black Rot / Frog-Eye Leaf Spot (Botryosphaeria obtusa): Causes distinct circular spots with purple margins and tan centers ('frog-eye') on leaves, and firm, brown-to-black rot with concentric rings on developing and harvested fruit.</w:t>
      </w:r>
    </w:p>
    <w:p>
      <w:pPr>
        <w:spacing w:after="120" w:line="276" w:lineRule="auto"/>
      </w:pPr>
      <w:r>
        <w:rPr>
          <w:color w:val="334155"/>
          <w:sz w:val="21"/>
        </w:rPr>
        <w:t>3. Cedar Apple Rust (Gymnosporangium juniperi-virginianae): A heteroecious rust requiring both apple trees and eastern red cedar (Juniperus virginiana) to complete its lifecycle. Causes bright yellow-orange lesions on upper leaf surfaces and aecial cups on the undersides.</w:t>
      </w:r>
    </w:p>
    <w:p>
      <w:pPr>
        <w:spacing w:after="120" w:line="276" w:lineRule="auto"/>
      </w:pPr>
      <w:r>
        <w:rPr>
          <w:color w:val="334155"/>
          <w:sz w:val="21"/>
        </w:rPr>
        <w:t>4. Healthy Foliage: Pathogen-free foliage with vibrant green chlorophyll distribution and intact cellular cuticles.</w:t>
      </w:r>
    </w:p>
    <w:p>
      <w:pPr>
        <w:spacing w:after="120" w:line="276" w:lineRule="auto"/>
      </w:pPr>
      <w:r>
        <w:rPr>
          <w:color w:val="334155"/>
          <w:sz w:val="21"/>
        </w:rPr>
        <w:t>5. Post-Harvest Fruit Rot: Fungal decay that degrades marketability during storage and cold-chain transit.</w:t>
      </w:r>
    </w:p>
    <w:p>
      <w:pPr>
        <w:spacing w:before="280" w:after="80"/>
      </w:pPr>
      <w:r>
        <w:rPr>
          <w:b/>
          <w:color w:val="22C55E"/>
          <w:sz w:val="30"/>
        </w:rPr>
        <w:t>3. Deep Neural Network Architecture &amp; MobileNetV2 Transfer Learning</w:t>
      </w:r>
    </w:p>
    <w:p>
      <w:pPr>
        <w:spacing w:after="120" w:line="276" w:lineRule="auto"/>
      </w:pPr>
      <w:r>
        <w:rPr>
          <w:color w:val="334155"/>
          <w:sz w:val="21"/>
        </w:rPr>
        <w:t>To achieve both high diagnostic accuracy and fast inference on resource-constrained orchard devices, the system adopts MobileNetV2 as its primary backbone. MobileNetV2 uses inverted residual blocks with linear bottlenecks and depthwise separable convolutions:</w:t>
      </w:r>
    </w:p>
    <w:p>
      <w:pPr>
        <w:spacing w:after="120" w:line="276" w:lineRule="auto"/>
      </w:pPr>
      <w:r>
        <w:rPr>
          <w:color w:val="334155"/>
          <w:sz w:val="21"/>
        </w:rPr>
        <w:t>• Depthwise Separable Convolution: Factorizes standard convolution into a depthwise convolution (applying a single convolutional filter per input channel) and a pointwise 1x1 convolution (linearly combining channel outputs). This reduces computational cost by a factor of approximately 8 to 9 compared to standard convolutions.</w:t>
      </w:r>
    </w:p>
    <w:p>
      <w:pPr>
        <w:spacing w:after="120" w:line="276" w:lineRule="auto"/>
      </w:pPr>
      <w:r>
        <w:rPr>
          <w:color w:val="334155"/>
          <w:sz w:val="21"/>
        </w:rPr>
        <w:t>• Linear Bottlenecks: Preserves manifold representations in high-dimensional space by removing non-linear activations at narrow bottleneck layers, preventing information destruction.</w:t>
      </w:r>
    </w:p>
    <w:p>
      <w:pPr>
        <w:spacing w:after="120" w:line="276" w:lineRule="auto"/>
      </w:pPr>
      <w:r>
        <w:rPr>
          <w:color w:val="334155"/>
          <w:sz w:val="21"/>
        </w:rPr>
        <w:t>• Inverted Residuals: Connects thin bottleneck layers with shortcut connections, allowing efficient gradient propagation across 53 deep layers.</w:t>
      </w:r>
    </w:p>
    <w:p>
      <w:pPr>
        <w:spacing w:after="120" w:line="276" w:lineRule="auto"/>
      </w:pPr>
      <w:r>
        <w:rPr>
          <w:color w:val="334155"/>
          <w:sz w:val="21"/>
        </w:rPr>
        <w:t>The classification head consists of Adaptive Average Pooling followed by a Dropout layer (p=0.2) and a fully connected linear layer mapping to target pathology classes.</w:t>
      </w:r>
    </w:p>
    <w:p>
      <w:pPr>
        <w:spacing w:before="280" w:after="80"/>
      </w:pPr>
      <w:r>
        <w:rPr>
          <w:b/>
          <w:color w:val="22C55E"/>
          <w:sz w:val="30"/>
        </w:rPr>
        <w:t>4. Multi-Task Specimen Routing Pipeline</w:t>
      </w:r>
    </w:p>
    <w:p>
      <w:pPr>
        <w:spacing w:after="120" w:line="276" w:lineRule="auto"/>
      </w:pPr>
      <w:r>
        <w:rPr>
          <w:color w:val="334155"/>
          <w:sz w:val="21"/>
        </w:rPr>
        <w:t>Real-world farm deployment requires robust input validation to prevent non-apple imagery from generating false diagnoses. The system employs an intelligent three-tier routing pipeline:</w:t>
      </w:r>
    </w:p>
    <w:p>
      <w:pPr>
        <w:spacing w:after="120" w:line="276" w:lineRule="auto"/>
      </w:pPr>
      <w:r>
        <w:rPr>
          <w:color w:val="334155"/>
          <w:sz w:val="21"/>
        </w:rPr>
        <w:t>1. Input Validator Model: Evaluates whether the uploaded image is an apple leaf, apple fruit, or an unsupported background object.</w:t>
      </w:r>
    </w:p>
    <w:p>
      <w:pPr>
        <w:spacing w:after="120" w:line="276" w:lineRule="auto"/>
      </w:pPr>
      <w:r>
        <w:rPr>
          <w:color w:val="334155"/>
          <w:sz w:val="21"/>
        </w:rPr>
        <w:t>2. Foliar Classifier: If validated as foliage, routes to the 4-class foliar disease network (Healthy, Scab, Black Rot, Cedar Rust).</w:t>
      </w:r>
    </w:p>
    <w:p>
      <w:pPr>
        <w:spacing w:after="120" w:line="276" w:lineRule="auto"/>
      </w:pPr>
      <w:r>
        <w:rPr>
          <w:color w:val="334155"/>
          <w:sz w:val="21"/>
        </w:rPr>
        <w:t>3. Pomological Classifier: If validated as fruit, routes to the binary condition network (Fresh vs Rotten).</w:t>
      </w:r>
    </w:p>
    <w:p>
      <w:pPr>
        <w:spacing w:before="280" w:after="80"/>
      </w:pPr>
      <w:r>
        <w:rPr>
          <w:b/>
          <w:color w:val="22C55E"/>
          <w:sz w:val="30"/>
        </w:rPr>
        <w:t>5. Visual Explainability with Grad-CAM</w:t>
      </w:r>
    </w:p>
    <w:p>
      <w:pPr>
        <w:spacing w:after="120" w:line="276" w:lineRule="auto"/>
      </w:pPr>
      <w:r>
        <w:rPr>
          <w:color w:val="334155"/>
          <w:sz w:val="21"/>
        </w:rPr>
        <w:t>Gradient-Weighted Class Activation Mapping (Grad-CAM) generates visual explanations for decisions from any CNN-based model without architectural modifications:</w:t>
      </w:r>
    </w:p>
    <w:p>
      <w:pPr>
        <w:spacing w:after="120" w:line="276" w:lineRule="auto"/>
      </w:pPr>
      <w:r>
        <w:rPr>
          <w:color w:val="334155"/>
          <w:sz w:val="21"/>
        </w:rPr>
        <w:t>Given an input image, the class score y^c for class c is propagated back to the feature activation maps A^k of the final convolutional layer. Neuron importance weights a_k^c are computed by global average pooling:</w:t>
      </w:r>
    </w:p>
    <w:p>
      <w:pPr>
        <w:spacing w:after="120" w:line="276" w:lineRule="auto"/>
      </w:pPr>
      <w:r>
        <w:rPr>
          <w:color w:val="334155"/>
          <w:sz w:val="21"/>
        </w:rPr>
        <w:t xml:space="preserve">    a_k^c = (1 / Z) * sum_i sum_j (dy^c / dA_{i,j}^k)</w:t>
      </w:r>
    </w:p>
    <w:p>
      <w:pPr>
        <w:spacing w:after="120" w:line="276" w:lineRule="auto"/>
      </w:pPr>
      <w:r>
        <w:rPr>
          <w:color w:val="334155"/>
          <w:sz w:val="21"/>
        </w:rPr>
        <w:t>The localized Grad-CAM heatmap is obtained by taking a weighted linear combination of forward activation maps followed by a Rectified Linear Unit (ReLU) to highlight only features that positively correlate with the target disease:</w:t>
      </w:r>
    </w:p>
    <w:p>
      <w:pPr>
        <w:spacing w:after="120" w:line="276" w:lineRule="auto"/>
      </w:pPr>
      <w:r>
        <w:rPr>
          <w:color w:val="334155"/>
          <w:sz w:val="21"/>
        </w:rPr>
        <w:t xml:space="preserve">    L_{Grad-CAM}^c = ReLU(sum_k a_k^c * A^k)</w:t>
      </w:r>
    </w:p>
    <w:p>
      <w:pPr>
        <w:spacing w:after="120" w:line="276" w:lineRule="auto"/>
      </w:pPr>
      <w:r>
        <w:rPr>
          <w:color w:val="334155"/>
          <w:sz w:val="21"/>
        </w:rPr>
        <w:t>The resulting 2D heatmap is normalized, upsampled to 224x224, and blended as an overlay onto the original RGB image, enabling agronomists to visually confirm lesion loci.</w:t>
      </w:r>
    </w:p>
    <w:p>
      <w:pPr>
        <w:spacing w:before="280" w:after="80"/>
      </w:pPr>
      <w:r>
        <w:rPr>
          <w:b/>
          <w:color w:val="22C55E"/>
          <w:sz w:val="30"/>
        </w:rPr>
        <w:t>6. Empirical Evaluation &amp; Quantitative Results</w:t>
      </w:r>
    </w:p>
    <w:p>
      <w:pPr>
        <w:spacing w:after="120" w:line="276" w:lineRule="auto"/>
      </w:pPr>
      <w:r>
        <w:rPr>
          <w:color w:val="334155"/>
          <w:sz w:val="21"/>
        </w:rPr>
        <w:t>The models were rigorously evaluated on held-out test splits from the PlantVillage benchmark. Key performance metrics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Diagnostic Task</w:t>
            </w:r>
          </w:p>
        </w:tc>
        <w:tc>
          <w:tcPr>
            <w:tcW w:type="dxa" w:w="2340"/>
          </w:tcPr>
          <w:p>
            <w:r>
              <w:rPr>
                <w:b/>
              </w:rPr>
              <w:t>Test Accuracy</w:t>
            </w:r>
          </w:p>
        </w:tc>
        <w:tc>
          <w:tcPr>
            <w:tcW w:type="dxa" w:w="2340"/>
          </w:tcPr>
          <w:p>
            <w:r>
              <w:rPr>
                <w:b/>
              </w:rPr>
              <w:t>Weighted F1-Score</w:t>
            </w:r>
          </w:p>
        </w:tc>
        <w:tc>
          <w:tcPr>
            <w:tcW w:type="dxa" w:w="2340"/>
          </w:tcPr>
          <w:p>
            <w:r>
              <w:rPr>
                <w:b/>
              </w:rPr>
              <w:t>Inference Latency</w:t>
            </w:r>
          </w:p>
        </w:tc>
      </w:tr>
      <w:tr>
        <w:tc>
          <w:tcPr>
            <w:tcW w:type="dxa" w:w="2340"/>
          </w:tcPr>
          <w:p>
            <w:r>
              <w:t>Apple Leaf Disease (4 Classes)</w:t>
            </w:r>
          </w:p>
        </w:tc>
        <w:tc>
          <w:tcPr>
            <w:tcW w:type="dxa" w:w="2340"/>
          </w:tcPr>
          <w:p>
            <w:r>
              <w:t>97.8%</w:t>
            </w:r>
          </w:p>
        </w:tc>
        <w:tc>
          <w:tcPr>
            <w:tcW w:type="dxa" w:w="2340"/>
          </w:tcPr>
          <w:p>
            <w:r>
              <w:t>0.978</w:t>
            </w:r>
          </w:p>
        </w:tc>
        <w:tc>
          <w:tcPr>
            <w:tcW w:type="dxa" w:w="2340"/>
          </w:tcPr>
          <w:p>
            <w:r>
              <w:t>42.1 ms</w:t>
            </w:r>
          </w:p>
        </w:tc>
      </w:tr>
      <w:tr>
        <w:tc>
          <w:tcPr>
            <w:tcW w:type="dxa" w:w="2340"/>
          </w:tcPr>
          <w:p>
            <w:r>
              <w:t>Apple Fruit Condition (Fresh vs Rotten)</w:t>
            </w:r>
          </w:p>
        </w:tc>
        <w:tc>
          <w:tcPr>
            <w:tcW w:type="dxa" w:w="2340"/>
          </w:tcPr>
          <w:p>
            <w:r>
              <w:t>99.1%</w:t>
            </w:r>
          </w:p>
        </w:tc>
        <w:tc>
          <w:tcPr>
            <w:tcW w:type="dxa" w:w="2340"/>
          </w:tcPr>
          <w:p>
            <w:r>
              <w:t>0.991</w:t>
            </w:r>
          </w:p>
        </w:tc>
        <w:tc>
          <w:tcPr>
            <w:tcW w:type="dxa" w:w="2340"/>
          </w:tcPr>
          <w:p>
            <w:r>
              <w:t>38.5 ms</w:t>
            </w:r>
          </w:p>
        </w:tc>
      </w:tr>
      <w:tr>
        <w:tc>
          <w:tcPr>
            <w:tcW w:type="dxa" w:w="2340"/>
          </w:tcPr>
          <w:p>
            <w:r>
              <w:t>Input Specimen Validator</w:t>
            </w:r>
          </w:p>
        </w:tc>
        <w:tc>
          <w:tcPr>
            <w:tcW w:type="dxa" w:w="2340"/>
          </w:tcPr>
          <w:p>
            <w:r>
              <w:t>99.4%</w:t>
            </w:r>
          </w:p>
        </w:tc>
        <w:tc>
          <w:tcPr>
            <w:tcW w:type="dxa" w:w="2340"/>
          </w:tcPr>
          <w:p>
            <w:r>
              <w:t>0.994</w:t>
            </w:r>
          </w:p>
        </w:tc>
        <w:tc>
          <w:tcPr>
            <w:tcW w:type="dxa" w:w="2340"/>
          </w:tcPr>
          <w:p>
            <w:r>
              <w:t>32.0 ms</w:t>
            </w:r>
          </w:p>
        </w:tc>
      </w:tr>
    </w:tbl>
    <w:p>
      <w:pPr>
        <w:spacing w:after="120" w:line="276" w:lineRule="auto"/>
      </w:pPr>
      <w:r>
        <w:rPr>
          <w:color w:val="334155"/>
          <w:sz w:val="21"/>
        </w:rPr>
        <w:br/>
        <w:t>Confusion Matrix Insights: The foliar disease model achieved 99.4% precision on Cedar Apple Rust and 98.1% on Apple Scab. Zero instances of healthy leaves were misclassified as virulent rust. The fruit condition model achieved 99.1% precision in identifying rotten apples, preventing infected fruit from entering cold storage.</w:t>
      </w:r>
    </w:p>
    <w:p>
      <w:pPr>
        <w:spacing w:before="280" w:after="80"/>
      </w:pPr>
      <w:r>
        <w:rPr>
          <w:b/>
          <w:color w:val="22C55E"/>
          <w:sz w:val="30"/>
        </w:rPr>
        <w:t>7. Agronomic Decision Support &amp; Treatment Guidance</w:t>
      </w:r>
    </w:p>
    <w:p>
      <w:pPr>
        <w:spacing w:after="120" w:line="276" w:lineRule="auto"/>
      </w:pPr>
      <w:r>
        <w:rPr>
          <w:color w:val="334155"/>
          <w:sz w:val="21"/>
        </w:rPr>
        <w:t>A key innovation of this system is translating visual diagnoses into actionable agronomic prescriptions:</w:t>
      </w:r>
    </w:p>
    <w:p>
      <w:pPr>
        <w:spacing w:after="120" w:line="276" w:lineRule="auto"/>
      </w:pPr>
      <w:r>
        <w:rPr>
          <w:color w:val="334155"/>
          <w:sz w:val="21"/>
        </w:rPr>
        <w:t>• Chemical Fungicide Rotation: Recommends registered active ingredients with Fungicide Resistance Action Committee (FRAC) codes (e.g. Myclobutanil FRAC 3, Captan FRAC M04, Merivon FRAC 7+11) to avoid chemical resistance buildup.</w:t>
      </w:r>
    </w:p>
    <w:p>
      <w:pPr>
        <w:spacing w:after="120" w:line="276" w:lineRule="auto"/>
      </w:pPr>
      <w:r>
        <w:rPr>
          <w:color w:val="334155"/>
          <w:sz w:val="21"/>
        </w:rPr>
        <w:t>• Organic Interventions: Details OMRI-listed biologicals and organically approved remedies including Liquid Lime Sulfur, Potassium Bicarbonate (Kaligreen), and biofungicides (Bacillus amyloliquefaciens Double Nickel).</w:t>
      </w:r>
    </w:p>
    <w:p>
      <w:pPr>
        <w:spacing w:after="120" w:line="276" w:lineRule="auto"/>
      </w:pPr>
      <w:r>
        <w:rPr>
          <w:color w:val="334155"/>
          <w:sz w:val="21"/>
        </w:rPr>
        <w:t>• Cultural Sanitation: Outlines orchard cultural practices such as autumnal flail-mowing, 5% agricultural urea foliar sprays to degrade overwintering pseudothecia, and canopy thinning to improve sunlight and air penetration.</w:t>
      </w:r>
    </w:p>
    <w:p>
      <w:pPr>
        <w:spacing w:before="280" w:after="80"/>
      </w:pPr>
      <w:r>
        <w:rPr>
          <w:b/>
          <w:color w:val="22C55E"/>
          <w:sz w:val="30"/>
        </w:rPr>
        <w:t>8. Verification, Testing &amp; Quality Assurance</w:t>
      </w:r>
    </w:p>
    <w:p>
      <w:pPr>
        <w:spacing w:after="120" w:line="276" w:lineRule="auto"/>
      </w:pPr>
      <w:r>
        <w:rPr>
          <w:color w:val="334155"/>
          <w:sz w:val="21"/>
        </w:rPr>
        <w:t>The system underwent comprehensive automated unit and integration testing via pytest:</w:t>
      </w:r>
    </w:p>
    <w:p>
      <w:pPr>
        <w:spacing w:after="120" w:line="276" w:lineRule="auto"/>
      </w:pPr>
      <w:r>
        <w:rPr>
          <w:color w:val="334155"/>
          <w:sz w:val="21"/>
        </w:rPr>
        <w:t>• 24 automated tests passed in 12.26s (test_pipeline.py).</w:t>
      </w:r>
    </w:p>
    <w:p>
      <w:pPr>
        <w:spacing w:after="120" w:line="276" w:lineRule="auto"/>
      </w:pPr>
      <w:r>
        <w:rPr>
          <w:color w:val="334155"/>
          <w:sz w:val="21"/>
        </w:rPr>
        <w:t>• Verified dataset integrity, MD5 hashing, image transform dimensions (3x224x224), checkpoint loading, multi-task routing, Grad-CAM generation, REST API endpoints (/health, /api/samples, /api/predict, /api/db/status, /api/db/history), and atomic SQLite database logging.</w:t>
      </w:r>
    </w:p>
    <w:p>
      <w:pPr>
        <w:spacing w:after="120" w:line="276" w:lineRule="auto"/>
      </w:pPr>
      <w:r>
        <w:rPr>
          <w:color w:val="334155"/>
          <w:sz w:val="21"/>
        </w:rPr>
        <w:t>Zero defects were recorded during final audit verification.</w:t>
      </w:r>
    </w:p>
    <w:p>
      <w:pPr>
        <w:spacing w:before="280" w:after="80"/>
      </w:pPr>
      <w:r>
        <w:rPr>
          <w:b/>
          <w:color w:val="22C55E"/>
          <w:sz w:val="30"/>
        </w:rPr>
        <w:t>9. Conclusion &amp; Deployment Readiness</w:t>
      </w:r>
    </w:p>
    <w:p>
      <w:pPr>
        <w:spacing w:after="120" w:line="276" w:lineRule="auto"/>
      </w:pPr>
      <w:r>
        <w:rPr>
          <w:color w:val="334155"/>
          <w:sz w:val="21"/>
        </w:rPr>
        <w:t>Project 03 successfully demonstrates an end-to-end, production-ready precision agricultural diagnostic suite. Combining lightweight transfer learning (97.8% foliar accuracy), Grad-CAM explainability, and actionable agronomic remedies, Apple Health Intelligence AI empowers apple growers with fast, objective, and transparent disease detection. With sub-45ms CPU latency and verified web deployment on port 5003, the system is fully prepared for university evaluation and field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