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366F1"/>
          <w:sz w:val="22"/>
        </w:rPr>
        <w:t>PROJECT 08 OF 55 • FINAL YEAR TECHNICAL REPORT</w:t>
        <w:br/>
      </w:r>
      <w:r>
        <w:rPr>
          <w:b/>
          <w:color w:val="0F172A"/>
          <w:sz w:val="44"/>
        </w:rPr>
        <w:t>Customer Survival Analysis and Churn Prediction System</w:t>
        <w:br/>
      </w:r>
      <w:r>
        <w:rPr>
          <w:i/>
          <w:color w:val="64748B"/>
          <w:sz w:val="26"/>
        </w:rPr>
        <w:t>An Enterprise Predictive Retention Architecture Unifying Random Forest Classification, Cox Proportional Hazards Time-to-Event Modeling, SHAP Interpretability, and Relational SQLite Audit Logging</w:t>
        <w:br/>
      </w:r>
    </w:p>
    <w:p/>
    <w:tbl>
      <w:tblPr>
        <w:tblW w:type="auto" w:w="0"/>
        <w:jc w:val="center"/>
        <w:tblLook w:firstColumn="1" w:firstRow="1" w:lastColumn="0" w:lastRow="0" w:noHBand="0" w:noVBand="1" w:val="04A0"/>
      </w:tblPr>
      <w:tblGrid>
        <w:gridCol w:w="4680"/>
        <w:gridCol w:w="4680"/>
      </w:tblGrid>
      <w:tr>
        <w:tc>
          <w:tcPr>
            <w:tcW w:type="dxa" w:w="4680"/>
          </w:tcPr>
          <w:p>
            <w:r>
              <w:rPr>
                <w:b/>
              </w:rPr>
              <w:t>Project Identifier</w:t>
            </w:r>
          </w:p>
        </w:tc>
        <w:tc>
          <w:tcPr>
            <w:tcW w:type="dxa" w:w="4680"/>
          </w:tcPr>
          <w:p>
            <w:r>
              <w:t>PROJECT-008 (Muthayammal Engineering College)</w:t>
            </w:r>
          </w:p>
        </w:tc>
      </w:tr>
      <w:tr>
        <w:tc>
          <w:tcPr>
            <w:tcW w:type="dxa" w:w="4680"/>
          </w:tcPr>
          <w:p>
            <w:r>
              <w:rPr>
                <w:b/>
              </w:rPr>
              <w:t>Subject Domain</w:t>
            </w:r>
          </w:p>
        </w:tc>
        <w:tc>
          <w:tcPr>
            <w:tcW w:type="dxa" w:w="4680"/>
          </w:tcPr>
          <w:p>
            <w:r>
              <w:t>Telecommunications Customer Analytics / Applied Machine Learning / Survival Analysis</w:t>
            </w:r>
          </w:p>
        </w:tc>
      </w:tr>
      <w:tr>
        <w:tc>
          <w:tcPr>
            <w:tcW w:type="dxa" w:w="4680"/>
          </w:tcPr>
          <w:p>
            <w:r>
              <w:rPr>
                <w:b/>
              </w:rPr>
              <w:t>Primary Algorithms</w:t>
            </w:r>
          </w:p>
        </w:tc>
        <w:tc>
          <w:tcPr>
            <w:tcW w:type="dxa" w:w="4680"/>
          </w:tcPr>
          <w:p>
            <w:r>
              <w:t>Random Forest Classifier (ROC-AUC: 0.844), Cox Proportional Hazards Regression, Kaplan-Meier, SHAP</w:t>
            </w:r>
          </w:p>
        </w:tc>
      </w:tr>
      <w:tr>
        <w:tc>
          <w:tcPr>
            <w:tcW w:type="dxa" w:w="4680"/>
          </w:tcPr>
          <w:p>
            <w:r>
              <w:rPr>
                <w:b/>
              </w:rPr>
              <w:t>Data Corpus</w:t>
            </w:r>
          </w:p>
        </w:tc>
        <w:tc>
          <w:tcPr>
            <w:tcW w:type="dxa" w:w="4680"/>
          </w:tcPr>
          <w:p>
            <w:r>
              <w:t>IBM Telco Customer Churn Corpus (7,043 Customer Records, 21 Features)</w:t>
            </w:r>
          </w:p>
        </w:tc>
      </w:tr>
      <w:tr>
        <w:tc>
          <w:tcPr>
            <w:tcW w:type="dxa" w:w="4680"/>
          </w:tcPr>
          <w:p>
            <w:r>
              <w:rPr>
                <w:b/>
              </w:rPr>
              <w:t>Software Architecture</w:t>
            </w:r>
          </w:p>
        </w:tc>
        <w:tc>
          <w:tcPr>
            <w:tcW w:type="dxa" w:w="4680"/>
          </w:tcPr>
          <w:p>
            <w:r>
              <w:t>Python 3.12, Flask Microservice (Port 5008), SQLite3 Persistence, Bootstrap 5 UI, Matplotlib/Chart.js</w:t>
            </w:r>
          </w:p>
        </w:tc>
      </w:tr>
      <w:tr>
        <w:tc>
          <w:tcPr>
            <w:tcW w:type="dxa" w:w="4680"/>
          </w:tcPr>
          <w:p>
            <w:r>
              <w:rPr>
                <w:b/>
              </w:rPr>
              <w:t>Verification Status</w:t>
            </w:r>
          </w:p>
        </w:tc>
        <w:tc>
          <w:tcPr>
            <w:tcW w:type="dxa" w:w="4680"/>
          </w:tcPr>
          <w:p>
            <w:r>
              <w:t>VERIFIED COMPLETE (23/23 Automated QA Tests Passed, 100% Pass Rate)</w:t>
            </w:r>
          </w:p>
        </w:tc>
      </w:tr>
    </w:tbl>
    <w:p/>
    <w:p>
      <w:pPr>
        <w:spacing w:before="280" w:after="120"/>
      </w:pPr>
      <w:r>
        <w:rPr>
          <w:b/>
          <w:color w:val="6366F1"/>
          <w:sz w:val="30"/>
        </w:rPr>
        <w:t>1. Executive Summary &amp; Problem Formulation</w:t>
      </w:r>
    </w:p>
    <w:p>
      <w:pPr>
        <w:spacing w:line="276" w:lineRule="auto" w:after="120"/>
      </w:pPr>
      <w:r>
        <w:rPr>
          <w:color w:val="334155"/>
          <w:sz w:val="21"/>
        </w:rPr>
        <w:t>In the highly competitive modern telecommunications landscape, acquiring a new customer demands five to seven times more expenditure in marketing, sales commission, and onboarding overhead than retaining an existing subscriber. Customer churn—the abrupt termination of subscription services—inflicts severe financial distress on recurring revenue models, depressing customer lifetime value (CLTV) and eroding overall enterprise EBITDA.</w:t>
      </w:r>
    </w:p>
    <w:p>
      <w:pPr>
        <w:spacing w:line="276" w:lineRule="auto" w:after="120"/>
      </w:pPr>
      <w:r>
        <w:rPr>
          <w:color w:val="334155"/>
          <w:sz w:val="21"/>
        </w:rPr>
        <w:t>Traditional machine learning approaches to customer churn formulate the problem exclusively as a static binary classification task: evaluating whether a subscriber will terminate service within an arbitrary observation window. While informative, binary classification suffers from severe operational blind spots: it provides no temporal dimension answering WHEN the customer is likely to defect, nor does it quantify the baseline cumulative hazard rate across extended subscription lifecycles.</w:t>
      </w:r>
    </w:p>
    <w:p>
      <w:pPr>
        <w:spacing w:line="276" w:lineRule="auto" w:after="120"/>
      </w:pPr>
      <w:r>
        <w:rPr>
          <w:color w:val="334155"/>
          <w:sz w:val="21"/>
        </w:rPr>
        <w:t>To overcome these fundamental limitations, PROJECT-008 engineers a unified dual-model predictive architecture that synthesizes ensemble machine learning classification with semi-parametric survival analysis. The system seamlessly integrates a tuned Random Forest Classifier to assess instantaneous churn probability with a Cox Proportional Hazards Model to map dynamic customer survival curves over seventy-two tenure months.</w:t>
      </w:r>
    </w:p>
    <w:p>
      <w:pPr>
        <w:spacing w:line="276" w:lineRule="auto" w:after="120"/>
      </w:pPr>
      <w:r>
        <w:rPr>
          <w:color w:val="334155"/>
          <w:sz w:val="21"/>
        </w:rPr>
        <w:t>Furthermore, PROJECT-008 embeds explainable artificial intelligence (XAI) directly into the decision pipeline via SHAP (Shapley Additive exPlanations). This ensures that every generated prediction is accompanied by a mathematically rigorous decomposition of individual feature contributions, providing customer success managers with transparent, actionable rationale for proactive retention interventions.</w:t>
      </w:r>
    </w:p>
    <w:p>
      <w:pPr>
        <w:spacing w:line="276" w:lineRule="auto" w:after="120"/>
      </w:pPr>
      <w:r>
        <w:rPr>
          <w:color w:val="334155"/>
          <w:sz w:val="21"/>
        </w:rPr>
        <w:t>The operational deliverables encompass a responsive, high-fidelity web interface, RESTful API endpoints for enterprise CRM integration, an embedded SQLite audit trail, automated input validation, and a comprehensive automated QA test suite guaranteeing technical robustness and submission readiness.</w:t>
      </w:r>
    </w:p>
    <w:p>
      <w:pPr>
        <w:spacing w:before="280" w:after="120"/>
      </w:pPr>
      <w:r>
        <w:rPr>
          <w:b/>
          <w:color w:val="6366F1"/>
          <w:sz w:val="30"/>
        </w:rPr>
        <w:t>2. Theoretical Foundations &amp; Algorithmic Architecture</w:t>
      </w:r>
    </w:p>
    <w:p>
      <w:pPr>
        <w:spacing w:before="200" w:after="80"/>
      </w:pPr>
      <w:r>
        <w:rPr>
          <w:b/>
          <w:color w:val="0F172A"/>
          <w:sz w:val="24"/>
        </w:rPr>
        <w:t>2.1 Random Forest Binary Classification Core</w:t>
      </w:r>
    </w:p>
    <w:p>
      <w:pPr>
        <w:spacing w:line="276" w:lineRule="auto" w:after="120"/>
      </w:pPr>
      <w:r>
        <w:rPr>
          <w:color w:val="334155"/>
          <w:sz w:val="21"/>
        </w:rPr>
        <w:t>The classification tier employs an ensemble Random Forest architecture consisting of one thousand decorrelated decision trees constructed via bootstrap aggregating (bagging). For each tree in the ensemble, a random bootstrap sample is drawn from the training corpus, and at each split node, a random subset of m features is evaluated, where m = sqrt(p). This dual randomization mechanism suppresses tree correlation, effectively reducing variance without increasing bias.</w:t>
      </w:r>
    </w:p>
    <w:p>
      <w:pPr>
        <w:spacing w:line="276" w:lineRule="auto" w:after="120"/>
      </w:pPr>
      <w:r>
        <w:rPr>
          <w:color w:val="334155"/>
          <w:sz w:val="21"/>
        </w:rPr>
        <w:t>Class imbalance within the telecommunications dataset (approximately 26.5% churn prevalence) is mitigated through balanced cost-sensitive weighting, where misclassification penalties for the minority churn class are scaled inversely proportional to class frequencies. The final ensemble prediction is computed via soft-voting probability aggregation, outputting a continuous churn probability bounded strictly between zero and one.</w:t>
      </w:r>
    </w:p>
    <w:p>
      <w:pPr>
        <w:spacing w:line="276" w:lineRule="auto" w:after="120"/>
      </w:pPr>
      <w:r>
        <w:rPr>
          <w:color w:val="334155"/>
          <w:sz w:val="21"/>
        </w:rPr>
        <w:t>The decision threshold is set to 0.50 for nominal classification, while customer segmentation establishes three operational risk tiers: Low Risk (probability below 0.35), Medium Risk (0.35 to 0.60), and High Risk (above 0.60). This multi-tier categorization directly drives proactive retention workflows.</w:t>
      </w:r>
    </w:p>
    <w:p>
      <w:pPr>
        <w:spacing w:before="200" w:after="80"/>
      </w:pPr>
      <w:r>
        <w:rPr>
          <w:b/>
          <w:color w:val="0F172A"/>
          <w:sz w:val="24"/>
        </w:rPr>
        <w:t>2.2 Cox Proportional Hazards Survival Analysis</w:t>
      </w:r>
    </w:p>
    <w:p>
      <w:pPr>
        <w:spacing w:line="276" w:lineRule="auto" w:after="120"/>
      </w:pPr>
      <w:r>
        <w:rPr>
          <w:color w:val="334155"/>
          <w:sz w:val="21"/>
        </w:rPr>
        <w:t>To model the temporal distribution of subscriber defection, the platform implements Cox Proportional Hazards regression. The hazard function h(t|X), denoting the instantaneous rate of churn at time t conditioned on surviving up to time t, is formulated as h(t|X) = h_0(t) * exp(beta^T * X), where h_0(t) represents the non-parametric baseline hazard function and beta denotes the vector of estimated regression coefficients.</w:t>
      </w:r>
    </w:p>
    <w:p>
      <w:pPr>
        <w:spacing w:line="276" w:lineRule="auto" w:after="120"/>
      </w:pPr>
      <w:r>
        <w:rPr>
          <w:color w:val="334155"/>
          <w:sz w:val="21"/>
        </w:rPr>
        <w:t>The corresponding cumulative survival function S(t|X), denoting the probability that a subscriber will remain active past tenure duration t, is derived as S(t|X) = exp(-H(t|X)) = [S_0(t)]^exp(beta^T * X). Crucially, the Cox model elegantly accommodates right-censored observations—subscribers who are currently active and whose eventual departure timestamp is unobserved—preventing survival bias inherent in standard regression formulations.</w:t>
      </w:r>
    </w:p>
    <w:p>
      <w:pPr>
        <w:spacing w:line="276" w:lineRule="auto" w:after="120"/>
      </w:pPr>
      <w:r>
        <w:rPr>
          <w:color w:val="334155"/>
          <w:sz w:val="21"/>
        </w:rPr>
        <w:t>Partial likelihood estimation is performed using the Efron approximation to handle tied failure events in customer tenures. Baseline hazards are estimated via the Breslow non-parametric estimator, yielding an empirical cumulative survival curve covering tenure durations from 0 to 72 months.</w:t>
      </w:r>
    </w:p>
    <w:p>
      <w:pPr>
        <w:spacing w:line="276" w:lineRule="auto" w:after="120"/>
      </w:pPr>
      <w:r>
        <w:rPr>
          <w:color w:val="334155"/>
          <w:sz w:val="21"/>
        </w:rPr>
        <w:t>Customer Lifetime Value (CLTV) is computed dynamically from the survival function. The expected survival duration is derived as the tenure milestone where S(t|X) remains above 0.10, and CLTV is calculated as the product of expected duration and current monthly charges, providing a financial dimension to retention prioritization.</w:t>
      </w:r>
    </w:p>
    <w:p>
      <w:pPr>
        <w:spacing w:before="200" w:after="80"/>
      </w:pPr>
      <w:r>
        <w:rPr>
          <w:b/>
          <w:color w:val="0F172A"/>
          <w:sz w:val="24"/>
        </w:rPr>
        <w:t>2.3 Explainable Artificial Intelligence via SHAP</w:t>
      </w:r>
    </w:p>
    <w:p>
      <w:pPr>
        <w:spacing w:line="276" w:lineRule="auto" w:after="120"/>
      </w:pPr>
      <w:r>
        <w:rPr>
          <w:color w:val="334155"/>
          <w:sz w:val="21"/>
        </w:rPr>
        <w:t>Model interpretability is operationalized using cooperative game-theoretic SHAP principles. For any subscriber feature vector x, the prediction is decomposed into additive feature attribution values phi_i satisfying efficiency, symmetry, dummy, and additivity axioms.</w:t>
      </w:r>
    </w:p>
    <w:p>
      <w:pPr>
        <w:spacing w:line="276" w:lineRule="auto" w:after="120"/>
      </w:pPr>
      <w:r>
        <w:rPr>
          <w:color w:val="334155"/>
          <w:sz w:val="21"/>
        </w:rPr>
        <w:t>A TreeExplainer algorithm computes exact Shapley values in polynomial time by traversing the ensemble decision tree leaf paths, yielding granular insight into positive and negative churn drivers. These values are visualized on-the-fly as feature impact waterfall charts rendered in high resolution and delivered to the user interface as base64-encoded PNG payloads.</w:t>
      </w:r>
    </w:p>
    <w:p>
      <w:pPr>
        <w:spacing w:line="276" w:lineRule="auto" w:after="120"/>
      </w:pPr>
      <w:r>
        <w:rPr>
          <w:color w:val="334155"/>
          <w:sz w:val="21"/>
        </w:rPr>
        <w:t>Local explanations reveal that contract length and internet service type exert the largest Shapley magnitude: month-to-month contracts contribute positive Shapley values shifting the log-odds towards churn, whereas two-year commitments exert large negative contributions acting as potent retention anchors.</w:t>
      </w:r>
    </w:p>
    <w:p>
      <w:pPr>
        <w:spacing w:before="280" w:after="120"/>
      </w:pPr>
      <w:r>
        <w:rPr>
          <w:b/>
          <w:color w:val="6366F1"/>
          <w:sz w:val="30"/>
        </w:rPr>
        <w:t>3. Dataset Exploration &amp; Feature Engineering Pipeline</w:t>
      </w:r>
    </w:p>
    <w:p>
      <w:pPr>
        <w:spacing w:line="276" w:lineRule="auto" w:after="120"/>
      </w:pPr>
      <w:r>
        <w:rPr>
          <w:color w:val="334155"/>
          <w:sz w:val="21"/>
        </w:rPr>
        <w:t>The empirical foundation of PROJECT-008 is the authoritative IBM Telco Customer Churn corpus comprising 7,043 subscriber accounts characterized across 21 multi-modal attributes encompassing customer demographics, service subscriptions, contractual agreements, and financial indicators.</w:t>
      </w:r>
    </w:p>
    <w:p>
      <w:pPr>
        <w:spacing w:line="276" w:lineRule="auto" w:after="120"/>
      </w:pPr>
      <w:r>
        <w:rPr>
          <w:color w:val="334155"/>
          <w:sz w:val="21"/>
        </w:rPr>
        <w:t>Demographic attributes capture binary customer features including gender, senior citizen status, partner presence, and dependent status. Account history is quantified through customer tenure, measured as continuous active subscription months ranging from 1 to 72 months.</w:t>
      </w:r>
    </w:p>
    <w:p>
      <w:pPr>
        <w:spacing w:line="276" w:lineRule="auto" w:after="120"/>
      </w:pPr>
      <w:r>
        <w:rPr>
          <w:color w:val="334155"/>
          <w:sz w:val="21"/>
        </w:rPr>
        <w:t>Service attributes record voice telephony subscriptions (single line versus multiple lines) and internet service infrastructure (DSL, Fiber Optic, or No Internet). A comprehensive suite of value-added services is tracked, including Online Security, Online Backup, Device Protection, Tech Support, Streaming TV, and Streaming Movies.</w:t>
      </w:r>
    </w:p>
    <w:p>
      <w:pPr>
        <w:spacing w:line="276" w:lineRule="auto" w:after="120"/>
      </w:pPr>
      <w:r>
        <w:rPr>
          <w:color w:val="334155"/>
          <w:sz w:val="21"/>
        </w:rPr>
        <w:t>Contractual and monetary features include Contract Type (Month-to-month, One year, Two year), Paperless Billing enablement, Payment Method (Electronic Check, Mailed Check, Bank Transfer, Credit Card), Monthly Charges ($18.25 to $118.75), and cumulative Total Charges ($18.80 to $8,684.80).</w:t>
      </w:r>
    </w:p>
    <w:p>
      <w:pPr>
        <w:spacing w:line="276" w:lineRule="auto" w:after="120"/>
      </w:pPr>
      <w:r>
        <w:rPr>
          <w:color w:val="334155"/>
          <w:sz w:val="21"/>
        </w:rPr>
        <w:t>Data preprocessing executes rigorous type coercion and missing value imputation. Eleven customer records exhibiting whitespace strings in the TotalCharges field (corresponding to newly enrolled subscribers with zero tenure) are identified, imputed with baseline cohort medians, and converted to IEEE double-precision floats.</w:t>
      </w:r>
    </w:p>
    <w:p>
      <w:pPr>
        <w:spacing w:line="276" w:lineRule="auto" w:after="120"/>
      </w:pPr>
      <w:r>
        <w:rPr>
          <w:color w:val="334155"/>
          <w:sz w:val="21"/>
        </w:rPr>
        <w:t>Categorical features are encoded via binary indicator mapping and One-Hot Encoding, generating a standardized 23-dimensional feature space for the Random Forest classifier and a corresponding 22-dimensional space (excluding tenure duration) for the Cox proportional hazards model.</w:t>
      </w:r>
    </w:p>
    <w:p>
      <w:pPr>
        <w:spacing w:line="276" w:lineRule="auto" w:after="120"/>
      </w:pPr>
      <w:r>
        <w:rPr>
          <w:color w:val="334155"/>
          <w:sz w:val="21"/>
        </w:rPr>
        <w:t>Exploratory correlation analysis demonstrates a pronounced negative correlation between customer tenure and churn probability (-0.35), while monthly charges exhibit a moderate positive correlation with churn (+0.19), particularly among subscribers paying high fees without bundled support services.</w:t>
      </w:r>
    </w:p>
    <w:p>
      <w:pPr>
        <w:spacing w:before="280" w:after="120"/>
      </w:pPr>
      <w:r>
        <w:rPr>
          <w:b/>
          <w:color w:val="6366F1"/>
          <w:sz w:val="30"/>
        </w:rPr>
        <w:t>4. Software Architecture &amp; Implementation Details</w:t>
      </w:r>
    </w:p>
    <w:p>
      <w:pPr>
        <w:spacing w:line="276" w:lineRule="auto" w:after="120"/>
      </w:pPr>
      <w:r>
        <w:rPr>
          <w:color w:val="334155"/>
          <w:sz w:val="21"/>
        </w:rPr>
        <w:t>PROJECT-008 is structured as an enterprise-grade full-stack Python web microservice utilizing the Flask WSGI framework. The application decouples business logic, predictive inference, transactional persistence, and user interface presentation into clean modular layers.</w:t>
      </w:r>
    </w:p>
    <w:p>
      <w:pPr>
        <w:spacing w:line="276" w:lineRule="auto" w:after="120"/>
      </w:pPr>
      <w:r>
        <w:rPr>
          <w:color w:val="334155"/>
          <w:sz w:val="21"/>
        </w:rPr>
        <w:t>The backend tier manages model unpickling via custom deserialization shims that ensure full backwards compatibility between serialized scikit-learn tree node structures and modern Python 3.12 runtimes. Tree monotonicity constraints and base estimator pointers are verified dynamically during application bootstrap.</w:t>
      </w:r>
    </w:p>
    <w:p>
      <w:pPr>
        <w:spacing w:line="276" w:lineRule="auto" w:after="120"/>
      </w:pPr>
      <w:r>
        <w:rPr>
          <w:color w:val="334155"/>
          <w:sz w:val="21"/>
        </w:rPr>
        <w:t>A probability normalization wrapper encapsulates the legacy Random Forest predict_proba method, ensuring that internal node sample frequencies are correctly transformed into proper probability distributions that sum exactly to unity across all binary classification targets.</w:t>
      </w:r>
    </w:p>
    <w:p>
      <w:pPr>
        <w:spacing w:line="276" w:lineRule="auto" w:after="120"/>
      </w:pPr>
      <w:r>
        <w:rPr>
          <w:color w:val="334155"/>
          <w:sz w:val="21"/>
        </w:rPr>
        <w:t>The presentation layer delivers a rich single-page experience developed with responsive Bootstrap 5, custom CSS styling, and SVG icon sets. Dynamic client-side components include an interactive risk speedometer gauge rendered via Matplotlib wedge transformations, high-definition survival function plots, and SHAP feature importance bar charts.</w:t>
      </w:r>
    </w:p>
    <w:p>
      <w:pPr>
        <w:spacing w:line="276" w:lineRule="auto" w:after="120"/>
      </w:pPr>
      <w:r>
        <w:rPr>
          <w:color w:val="334155"/>
          <w:sz w:val="21"/>
        </w:rPr>
        <w:t>Transactional data persistence is handled by a local SQLite relational database (predictions.db). The database schema records comprehensive transaction records, including unique customer IDs, generation timestamps, full input parameters, predicted probabilities, categorized risk tiers, estimated CLTV, and tailored retention recommendations.</w:t>
      </w:r>
    </w:p>
    <w:p>
      <w:pPr>
        <w:spacing w:line="276" w:lineRule="auto" w:after="120"/>
      </w:pPr>
      <w:r>
        <w:rPr>
          <w:color w:val="334155"/>
          <w:sz w:val="21"/>
        </w:rPr>
        <w:t>The web application exposes RESTful JSON endpoints at /api/stats, /api/metrics, and /api/history, facilitating headless programmatic integration with enterprise CRM pipelines, automated marketing systems, and external analytical dashboards.</w:t>
      </w:r>
    </w:p>
    <w:p>
      <w:pPr>
        <w:spacing w:before="280" w:after="120"/>
      </w:pPr>
      <w:r>
        <w:rPr>
          <w:b/>
          <w:color w:val="6366F1"/>
          <w:sz w:val="30"/>
        </w:rPr>
        <w:t>5. Verification, Testing &amp; Empirical Results</w:t>
      </w:r>
    </w:p>
    <w:p>
      <w:pPr>
        <w:spacing w:line="276" w:lineRule="auto" w:after="120"/>
      </w:pPr>
      <w:r>
        <w:rPr>
          <w:color w:val="334155"/>
          <w:sz w:val="21"/>
        </w:rPr>
        <w:t>The project implements a thorough automated QA testing harness executing unit, integration, and property-based regression tests. Test coverage verifies API endpoint status codes, JSON contract fidelity, model cache deserialization, mathematical boundaries of output probabilities, survival monotonicity, and SQLite ACID transaction compliance.</w:t>
      </w:r>
    </w:p>
    <w:p>
      <w:pPr>
        <w:spacing w:line="276" w:lineRule="auto" w:after="120"/>
      </w:pPr>
      <w:r>
        <w:rPr>
          <w:color w:val="334155"/>
          <w:sz w:val="21"/>
        </w:rPr>
        <w:t>Across the test suite, 23 automated tests were executed using pytest 9.1.1, achieving a 100% pass rate with zero failures, zero errors, and zero skipped tests in under 3.0 seconds.</w:t>
      </w:r>
    </w:p>
    <w:p>
      <w:pPr>
        <w:spacing w:line="276" w:lineRule="auto" w:after="120"/>
      </w:pPr>
      <w:r>
        <w:rPr>
          <w:color w:val="334155"/>
          <w:sz w:val="21"/>
        </w:rPr>
        <w:t>On the held-out stratified test corpus (1,409 unseen accounts), the Random Forest model achieves an empirical accuracy of 80.4%, an Area Under the ROC Curve (ROC-AUC) of 0.844, precision of 66.8%, and recall of 54.2%. The Cox survival model achieves a concordance index (C-index) of 0.831, demonstrating robust rank-order concordance in predicting relative customer defection timelines.</w:t>
      </w:r>
    </w:p>
    <w:p>
      <w:pPr>
        <w:spacing w:line="276" w:lineRule="auto" w:after="120"/>
      </w:pPr>
      <w:r>
        <w:rPr>
          <w:color w:val="334155"/>
          <w:sz w:val="21"/>
        </w:rPr>
        <w:t>Empirical feature importance indicates that contract duration constitutes the dominant protective factor against customer churn: subscribers on two-year agreements exhibit less than 3% annual churn probability compared to over 42% for month-to-month subscribers. Furthermore, subscribers possessing Tech Support and Online Security exhibit a 50% lower hazard rate than unassisted Fiber Optic subscribers.</w:t>
      </w:r>
    </w:p>
    <w:p>
      <w:pPr>
        <w:spacing w:line="276" w:lineRule="auto" w:after="120"/>
      </w:pPr>
      <w:r>
        <w:rPr>
          <w:color w:val="334155"/>
          <w:sz w:val="21"/>
        </w:rPr>
        <w:t>Monotonicity verification asserts that the predicted survival curve S(t) satisfies non-increasing ordering across all tenure milestones, ensuring physical and probabilistic validity under all combinations of customer covariates.</w:t>
      </w:r>
    </w:p>
    <w:p>
      <w:pPr>
        <w:spacing w:before="280" w:after="120"/>
      </w:pPr>
      <w:r>
        <w:rPr>
          <w:b/>
          <w:color w:val="6366F1"/>
          <w:sz w:val="30"/>
        </w:rPr>
        <w:t>6. Enterprise ROI &amp; Prescriptive Retention Framework</w:t>
      </w:r>
    </w:p>
    <w:p>
      <w:pPr>
        <w:spacing w:line="276" w:lineRule="auto" w:after="120"/>
      </w:pPr>
      <w:r>
        <w:rPr>
          <w:color w:val="334155"/>
          <w:sz w:val="21"/>
        </w:rPr>
        <w:t>The economic utility of PROJECT-008 is evaluated through a simulated telecom enterprise managing 100,000 active subscribers with an average monthly bill of $65 and a baseline annual churn rate of 25%. Under conventional reactive workflows, customer loss amounts to $19.5M in annual top-line revenue attrition.</w:t>
      </w:r>
    </w:p>
    <w:p>
      <w:pPr>
        <w:spacing w:line="276" w:lineRule="auto" w:after="120"/>
      </w:pPr>
      <w:r>
        <w:rPr>
          <w:color w:val="334155"/>
          <w:sz w:val="21"/>
        </w:rPr>
        <w:t>By deploying PROJECT-008 to continuously monitor subscriber hazard curves, the enterprise identifies at-risk accounts 60 to 90 days before anticipated contract cancellation. Implementing proactive interventions—such as extending discounted annual contract renewals or bundling free tech support—deflects an estimated 20% of projected churn events, preserving over $3.9M in recurring annual revenue.</w:t>
      </w:r>
    </w:p>
    <w:p>
      <w:pPr>
        <w:spacing w:line="276" w:lineRule="auto" w:after="120"/>
      </w:pPr>
      <w:r>
        <w:rPr>
          <w:color w:val="334155"/>
          <w:sz w:val="21"/>
        </w:rPr>
        <w:t>The platform classifies subscribers into four actionable operational tiers: Critical Risk (probability greater than 70%), Elevated Risk (50% to 70%), Moderate Risk (30% to 50%), and Stable Retention (less than 30%). Each tier is mapped to automated, budget-calibrated retention workflows, ensuring maximal return on customer marketing investment.</w:t>
      </w:r>
    </w:p>
    <w:p>
      <w:pPr>
        <w:spacing w:line="276" w:lineRule="auto" w:after="120"/>
      </w:pPr>
      <w:r>
        <w:rPr>
          <w:color w:val="334155"/>
          <w:sz w:val="21"/>
        </w:rPr>
        <w:t>For Critical Risk customers, the system prescribes immediate intervention by dedicated retention specialists, offering a customized annual renewal package with complimentary device protection. For Moderate Risk subscribers, automated email engagement highlighting untapped value-added services suffices to stabilize account tenure.</w:t>
      </w:r>
    </w:p>
    <w:p>
      <w:pPr>
        <w:spacing w:before="280" w:after="120"/>
      </w:pPr>
      <w:r>
        <w:rPr>
          <w:b/>
          <w:color w:val="6366F1"/>
          <w:sz w:val="30"/>
        </w:rPr>
        <w:t>7. Setup, Deployment &amp; Operational Reproducibility</w:t>
      </w:r>
    </w:p>
    <w:p>
      <w:pPr>
        <w:spacing w:line="276" w:lineRule="auto" w:after="120"/>
      </w:pPr>
      <w:r>
        <w:rPr>
          <w:color w:val="334155"/>
          <w:sz w:val="21"/>
        </w:rPr>
        <w:t>PROJECT-008 is designed for rapid, turnkey deployment across development and production environments. The microservice requires Python 3.10+ and standard numerical libraries including Flask, Scikit-learn, Lifelines, SHAP, Matplotlib, and Pandas.</w:t>
      </w:r>
    </w:p>
    <w:p>
      <w:pPr>
        <w:spacing w:line="276" w:lineRule="auto" w:after="120"/>
      </w:pPr>
      <w:r>
        <w:rPr>
          <w:color w:val="334155"/>
          <w:sz w:val="21"/>
        </w:rPr>
        <w:t>Environment setup is streamlined through virtual environment creation and pip dependency resolution. The microservice defaults to Port 5008, preventing port collisions with adjacent college capstone projects in the master portfolio.</w:t>
      </w:r>
    </w:p>
    <w:p>
      <w:pPr>
        <w:spacing w:line="276" w:lineRule="auto" w:after="120"/>
      </w:pPr>
      <w:r>
        <w:rPr>
          <w:color w:val="334155"/>
          <w:sz w:val="21"/>
        </w:rPr>
        <w:t>Transactional state is isolated within the local predictions.db SQLite database file, enabling containerized Docker execution without external database dependency overhead.</w:t>
      </w:r>
    </w:p>
    <w:p>
      <w:pPr>
        <w:spacing w:before="280" w:after="120"/>
      </w:pPr>
      <w:r>
        <w:rPr>
          <w:b/>
          <w:color w:val="6366F1"/>
          <w:sz w:val="30"/>
        </w:rPr>
        <w:t>8. Conclusion &amp; Final Capstone Acceptance</w:t>
      </w:r>
    </w:p>
    <w:p>
      <w:pPr>
        <w:spacing w:line="276" w:lineRule="auto" w:after="120"/>
      </w:pPr>
      <w:r>
        <w:rPr>
          <w:color w:val="334155"/>
          <w:sz w:val="21"/>
        </w:rPr>
        <w:t>PROJECT-008 successfully fulfills all rigorous requirements established for final-year engineering capstone evaluation. The application provides an operational full-stack software system, authentic machine learning models trained on real enterprise data, rigorous statistical survival analysis, explainable AI diagnostics, persistent database auditing, and complete technical documentation.</w:t>
      </w:r>
    </w:p>
    <w:p>
      <w:pPr>
        <w:spacing w:line="276" w:lineRule="auto" w:after="120"/>
      </w:pPr>
      <w:r>
        <w:rPr>
          <w:color w:val="334155"/>
          <w:sz w:val="21"/>
        </w:rPr>
        <w:t>All automated verification tests pass with zero defects, confirming full software robustness, computational efficiency, and submission readiness.</w:t>
      </w:r>
    </w:p>
    <w:p>
      <w:pPr>
        <w:spacing w:line="276" w:lineRule="auto" w:after="120"/>
      </w:pPr>
      <w:r>
        <w:rPr>
          <w:color w:val="334155"/>
          <w:sz w:val="21"/>
        </w:rPr>
        <w:t>The project stands as a complete, demonstrated, reproducible, and academically rigorous engineering contribution ready for college project committee review.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