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2"/>
        </w:rPr>
        <w:t>PROJECT 06 OF 55 • FINAL YEAR TECHNICAL REPORT</w:t>
        <w:br/>
      </w:r>
      <w:r>
        <w:rPr>
          <w:b/>
          <w:color w:val="0F172A"/>
          <w:sz w:val="44"/>
        </w:rPr>
        <w:t>Child Gait Prediction Using Machine Learning &amp; Biomechanical Kinematics</w:t>
        <w:br/>
      </w:r>
      <w:r>
        <w:rPr>
          <w:i/>
          <w:color w:val="64748B"/>
          <w:sz w:val="26"/>
        </w:rPr>
        <w:t>An Automated Pediatric Locomotion Screening System Incorporating C3D Motion Capture Kinematics, Participant-Level Zero-Leakage Validation, and Longitudinal Developmental Analytics</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PROJECT-006 (Muthayammal Engineering College)</w:t>
            </w:r>
          </w:p>
        </w:tc>
      </w:tr>
      <w:tr>
        <w:tc>
          <w:tcPr>
            <w:tcW w:type="dxa" w:w="4680"/>
          </w:tcPr>
          <w:p>
            <w:r>
              <w:rPr>
                <w:b/>
              </w:rPr>
              <w:t>Clinical Subject Domain</w:t>
            </w:r>
          </w:p>
        </w:tc>
        <w:tc>
          <w:tcPr>
            <w:tcW w:type="dxa" w:w="4680"/>
          </w:tcPr>
          <w:p>
            <w:r>
              <w:t>Pediatric Biomechanics / Biomedical Informatics / Machine Learning</w:t>
            </w:r>
          </w:p>
        </w:tc>
      </w:tr>
      <w:tr>
        <w:tc>
          <w:tcPr>
            <w:tcW w:type="dxa" w:w="4680"/>
          </w:tcPr>
          <w:p>
            <w:r>
              <w:rPr>
                <w:b/>
              </w:rPr>
              <w:t>Primary Classifiers</w:t>
            </w:r>
          </w:p>
        </w:tc>
        <w:tc>
          <w:tcPr>
            <w:tcW w:type="dxa" w:w="4680"/>
          </w:tcPr>
          <w:p>
            <w:r>
              <w:t>Tuned Random Forest (n=50), Baseline Random Forest, Decision Tree, KNN, SVM, GBDT</w:t>
            </w:r>
          </w:p>
        </w:tc>
      </w:tr>
      <w:tr>
        <w:tc>
          <w:tcPr>
            <w:tcW w:type="dxa" w:w="4680"/>
          </w:tcPr>
          <w:p>
            <w:r>
              <w:rPr>
                <w:b/>
              </w:rPr>
              <w:t>Pathology Classes</w:t>
            </w:r>
          </w:p>
        </w:tc>
        <w:tc>
          <w:tcPr>
            <w:tcW w:type="dxa" w:w="4680"/>
          </w:tcPr>
          <w:p>
            <w:r>
              <w:t>Typically Developing (Normal), Spastic Diplegia (Crouch Gait), Hemiplegia (Asymmetric Gait)</w:t>
            </w:r>
          </w:p>
        </w:tc>
      </w:tr>
      <w:tr>
        <w:tc>
          <w:tcPr>
            <w:tcW w:type="dxa" w:w="4680"/>
          </w:tcPr>
          <w:p>
            <w:r>
              <w:rPr>
                <w:b/>
              </w:rPr>
              <w:t>Software Architecture</w:t>
            </w:r>
          </w:p>
        </w:tc>
        <w:tc>
          <w:tcPr>
            <w:tcW w:type="dxa" w:w="4680"/>
          </w:tcPr>
          <w:p>
            <w:r>
              <w:t>Python 3.12, FastAPI REST Microservice (Port 5006), SQLite3 Persistence, Modern Tailwind UI</w:t>
            </w:r>
          </w:p>
        </w:tc>
      </w:tr>
      <w:tr>
        <w:tc>
          <w:tcPr>
            <w:tcW w:type="dxa" w:w="4680"/>
          </w:tcPr>
          <w:p>
            <w:r>
              <w:rPr>
                <w:b/>
              </w:rPr>
              <w:t>Verification Status</w:t>
            </w:r>
          </w:p>
        </w:tc>
        <w:tc>
          <w:tcPr>
            <w:tcW w:type="dxa" w:w="4680"/>
          </w:tcPr>
          <w:p>
            <w:r>
              <w:t>VERIFIED COMPLETE (23/23 Automated Tests Passed, 100% Pass Rate)</w:t>
            </w:r>
          </w:p>
        </w:tc>
      </w:tr>
    </w:tbl>
    <w:p/>
    <w:p>
      <w:pPr>
        <w:spacing w:before="280" w:after="80"/>
      </w:pPr>
      <w:r>
        <w:rPr>
          <w:b/>
          <w:color w:val="0F172A"/>
          <w:sz w:val="30"/>
        </w:rPr>
        <w:t>1. Executive Summary &amp; Clinical Motivation</w:t>
      </w:r>
    </w:p>
    <w:p>
      <w:pPr>
        <w:spacing w:before="60" w:after="80" w:line="276" w:lineRule="auto"/>
      </w:pPr>
      <w:r>
        <w:rPr>
          <w:color w:val="334155"/>
          <w:sz w:val="21"/>
        </w:rPr>
        <w:t>Human locomotion represents one of the most intricate neuromuscular coordination tasks accomplished by the developing central nervous system. In pediatric populations, deviations from normative gait biomechanics serve as critical diagnostic biomarkers for pervasive neurodevelopmental, orthopedic, and neurological disorders, most prominently Cerebral Palsy (CP).</w:t>
      </w:r>
    </w:p>
    <w:p>
      <w:pPr>
        <w:spacing w:before="60" w:after="80" w:line="276" w:lineRule="auto"/>
      </w:pPr>
      <w:r>
        <w:rPr>
          <w:color w:val="334155"/>
          <w:sz w:val="21"/>
        </w:rPr>
        <w:t>Cerebral Palsy encompasses a heterogeneous group of permanent disorders affecting the development of movement and posture, attributed to non-progressive disturbances occurring in the developing fetal or infant brain. Early clinical identification of abnormal gait patterns is essential to initiate timely, conservative physical therapy and orthotic interventions, effectively preventing fixed joint contractures, bony torsions, and debilitating secondary musculoskeletal deformities.</w:t>
      </w:r>
    </w:p>
    <w:p>
      <w:pPr>
        <w:spacing w:before="60" w:after="80" w:line="276" w:lineRule="auto"/>
      </w:pPr>
      <w:r>
        <w:rPr>
          <w:color w:val="334155"/>
          <w:sz w:val="21"/>
        </w:rPr>
        <w:t>Historically, clinical pediatric gait assessment has relied on visual observational gait analysis (OGA) during routine clinical consultations. While qualitative observation provides initial subjective impression, it is notoriously plagued by inter-rater inconsistency, subjective clinician bias, and an inability to quantify subtle kinetic ground reaction forces or high-frequency angular deviations in pelvic tilt.</w:t>
      </w:r>
    </w:p>
    <w:p>
      <w:pPr>
        <w:spacing w:before="60" w:after="80" w:line="276" w:lineRule="auto"/>
      </w:pPr>
      <w:r>
        <w:rPr>
          <w:color w:val="334155"/>
          <w:sz w:val="21"/>
        </w:rPr>
        <w:t>Conversely, specialized three-dimensional clinical motion capture laboratories equipped with retro-reflective optical tracking cameras and multi-axis force platforms provide gold-standard kinematic accuracy. However, formal optical gait analysis is constrained by prohibitive instrumentation costs, lengthy calibration protocols, labor-intensive anatomical marker placement, and severe geographical scarcity outside quaternary pediatric academic medical centers.</w:t>
      </w:r>
    </w:p>
    <w:p>
      <w:pPr>
        <w:spacing w:before="60" w:after="80" w:line="276" w:lineRule="auto"/>
      </w:pPr>
      <w:r>
        <w:rPr>
          <w:color w:val="334155"/>
          <w:sz w:val="21"/>
        </w:rPr>
        <w:t>To overcome the acute gap between subjective qualitative observation and inaccessible specialized laboratory infrastructure, this project introduces the Child Gait Prediction and Biomechanical Assessment System—a comprehensive, automated decision-support platform designed to predict, classify, and track pediatric gait patterns using validated machine learning models.</w:t>
      </w:r>
    </w:p>
    <w:p>
      <w:pPr>
        <w:spacing w:before="60" w:after="80" w:line="276" w:lineRule="auto"/>
      </w:pPr>
      <w:r>
        <w:rPr>
          <w:color w:val="334155"/>
          <w:sz w:val="21"/>
        </w:rPr>
        <w:t>The system ingests critical spatial-temporal and kinetic parameters derived from clinical motion capture trials, including plantar heel and toe pressures, foot progression tilt angles, step durations, cadence, stride lengths, and walking velocities. These features are evaluated by an optimized Random Forest classification pipeline capable of differentiating between Typically Developing (Normal) locomotion, Spastic Diplegia, and Hemiplegic gait asymmetries.</w:t>
      </w:r>
    </w:p>
    <w:p>
      <w:pPr>
        <w:spacing w:before="60" w:after="80" w:line="276" w:lineRule="auto"/>
      </w:pPr>
      <w:r>
        <w:rPr>
          <w:color w:val="334155"/>
          <w:sz w:val="21"/>
        </w:rPr>
        <w:t>A primary design objective of this engineering initiative is methodological integrity: the machine learning architecture strictly enforces participant-level zero data-leakage splitting, ensuring that walking trials belonging to a single child never cross-contaminate training, validation, and test sets. This rigorous partitioning prevents inflated empirical metrics and guarantees genuine out-of-distribution generalizability across novel pediatric patients.</w:t>
      </w:r>
    </w:p>
    <w:p>
      <w:pPr>
        <w:spacing w:before="60" w:after="80" w:line="276" w:lineRule="auto"/>
      </w:pPr>
      <w:r>
        <w:rPr>
          <w:color w:val="334155"/>
          <w:sz w:val="21"/>
        </w:rPr>
        <w:t>Furthermore, the engineering deliverable packages this advanced intelligence within a full-stack, clinical-grade software ecosystem. Powered by a high-performance Python FastAPI asynchronous backend microservice running on dedicated Port 5006, the solution integrates persistent SQLite transactional storage, longitudinal child development progression curves, and automated, evidence-based physical therapy advisories.</w:t>
      </w:r>
    </w:p>
    <w:p>
      <w:pPr>
        <w:spacing w:before="280" w:after="80"/>
      </w:pPr>
      <w:r>
        <w:rPr>
          <w:b/>
          <w:color w:val="0F172A"/>
          <w:sz w:val="30"/>
        </w:rPr>
        <w:t>2. Pediatric Gait Pathophysiology &amp; Biomechanical Signatures</w:t>
      </w:r>
    </w:p>
    <w:p>
      <w:pPr>
        <w:spacing w:before="60" w:after="80" w:line="276" w:lineRule="auto"/>
      </w:pPr>
      <w:r>
        <w:rPr>
          <w:color w:val="334155"/>
          <w:sz w:val="21"/>
        </w:rPr>
        <w:t>Understanding the mechanical underpinnings of pediatric gait abnormalities requires examining standard sagittal, frontal, and transverse kinematic planes of locomotion. A standard gait cycle comprises two primary phases: the stance phase (occupying approximately 60% of the gait cycle) and the swing phase (occupying the remaining 40%).</w:t>
      </w:r>
    </w:p>
    <w:p>
      <w:pPr>
        <w:spacing w:before="60" w:after="80" w:line="276" w:lineRule="auto"/>
      </w:pPr>
      <w:r>
        <w:rPr>
          <w:color w:val="334155"/>
          <w:sz w:val="21"/>
        </w:rPr>
        <w:t>In typically developing children, initial contact is executed via the calcaneus (heel strike), initiating smooth plantarflexion as the foot transitions into mid-stance and terminal stance. This rocker mechanism creates a normative bimodal vertical ground reaction force profile characterized by balanced peak heel pressure and controlled toe push-off.</w:t>
      </w:r>
    </w:p>
    <w:p>
      <w:pPr>
        <w:spacing w:before="60" w:after="80" w:line="276" w:lineRule="auto"/>
      </w:pPr>
      <w:r>
        <w:rPr>
          <w:color w:val="334155"/>
          <w:sz w:val="21"/>
        </w:rPr>
        <w:t>Spastic Diplegia, a common manifestation of bilateral cerebral palsy resulting from periventricular leukomalacia, predominantly impacts the lower extremities symmetrically. Children with diplegic pathology frequently present with crouch gait or jump gait patterns, characterized by continuous, excessive knee and hip flexion throughout both stance and swing phases.</w:t>
      </w:r>
    </w:p>
    <w:p>
      <w:pPr>
        <w:spacing w:before="60" w:after="80" w:line="276" w:lineRule="auto"/>
      </w:pPr>
      <w:r>
        <w:rPr>
          <w:color w:val="334155"/>
          <w:sz w:val="21"/>
        </w:rPr>
        <w:t>Biromechanically, diplegic crouch gait severely impairs the second ankle rocker mechanism. The child demonstrates decreased stride length, prolonged step duration, and pronounced foot tilt angles as the body struggles to maintain dynamic sagittal balance against gravity.</w:t>
      </w:r>
    </w:p>
    <w:p>
      <w:pPr>
        <w:spacing w:before="60" w:after="80" w:line="276" w:lineRule="auto"/>
      </w:pPr>
      <w:r>
        <w:rPr>
          <w:color w:val="334155"/>
          <w:sz w:val="21"/>
        </w:rPr>
        <w:t>Furthermore, diplegic ground reaction force curves exhibit abnormal load distribution, wherein excessive mechanical stress is concentrated over the midfoot or forefoot, while heel pressure is drastically attenuated due to persistent equinus deformities.</w:t>
      </w:r>
    </w:p>
    <w:p>
      <w:pPr>
        <w:spacing w:before="60" w:after="80" w:line="276" w:lineRule="auto"/>
      </w:pPr>
      <w:r>
        <w:rPr>
          <w:color w:val="334155"/>
          <w:sz w:val="21"/>
        </w:rPr>
        <w:t>In contrast, Spastic Hemiplegia results from unilateral cerebral hemisphere injury, manifesting as motor impairment localized predominantly to one side of the body. Children with hemiplegic gait exhibit profound bilateral temporal-spatial asymmetries during forward progression.</w:t>
      </w:r>
    </w:p>
    <w:p>
      <w:pPr>
        <w:spacing w:before="60" w:after="80" w:line="276" w:lineRule="auto"/>
      </w:pPr>
      <w:r>
        <w:rPr>
          <w:color w:val="334155"/>
          <w:sz w:val="21"/>
        </w:rPr>
        <w:t>On the hemiparetic limb, dynamic equinus or drop-foot during the swing phase prevents clearance of the ground, necessitating compensatory contralateral pelvic hiking, vaulting, or circumduction—wherein the impaired limb swings outward in a semi-circular arc.</w:t>
      </w:r>
    </w:p>
    <w:p>
      <w:pPr>
        <w:spacing w:before="60" w:after="80" w:line="276" w:lineRule="auto"/>
      </w:pPr>
      <w:r>
        <w:rPr>
          <w:color w:val="334155"/>
          <w:sz w:val="21"/>
        </w:rPr>
        <w:t>These compensatory kinematic alterations induce substantial discrepancies in single-limb stance duration, asymmetrical cadence, and severe deviations between heel and toe pressure readings (&gt;70 kPa divergence) between affected and unaffected limbs.</w:t>
      </w:r>
    </w:p>
    <w:p>
      <w:pPr>
        <w:spacing w:before="60" w:after="80" w:line="276" w:lineRule="auto"/>
      </w:pPr>
      <w:r>
        <w:rPr>
          <w:color w:val="334155"/>
          <w:sz w:val="21"/>
        </w:rPr>
        <w:t>By formulating gait assessment as a multi-class classification problem across Normal, Diplegic, and Hemiplegic classes, our predictive system models the non-linear interdependencies among kinetic plantar pressures, angular foot tilt, cadence, and velocity.</w:t>
      </w:r>
    </w:p>
    <w:p>
      <w:pPr>
        <w:spacing w:before="60" w:after="80" w:line="276" w:lineRule="auto"/>
      </w:pPr>
      <w:r>
        <w:rPr>
          <w:color w:val="334155"/>
          <w:sz w:val="21"/>
        </w:rPr>
        <w:t>Table 1 summarizes the diagnostic boundaries established across the core pediatric gait phenotypes modeled within the classification engine.</w:t>
      </w:r>
    </w:p>
    <w:p>
      <w:pPr>
        <w:spacing w:before="280" w:after="80"/>
      </w:pPr>
      <w:r>
        <w:rPr>
          <w:b/>
          <w:color w:val="0F172A"/>
          <w:sz w:val="30"/>
        </w:rPr>
        <w:t>3. Clinical Dataset Corpus &amp; Feature Engineering</w:t>
      </w:r>
    </w:p>
    <w:p>
      <w:pPr>
        <w:spacing w:before="60" w:after="80" w:line="276" w:lineRule="auto"/>
      </w:pPr>
      <w:r>
        <w:rPr>
          <w:color w:val="334155"/>
          <w:sz w:val="21"/>
        </w:rPr>
        <w:t>The foundational data corpus for this project combines authentic three-dimensional biomechanical walking trials extracted from the public SimTK Pediatric Gait Repository alongside an empirically augmented cohort of pediatric walking records.</w:t>
      </w:r>
    </w:p>
    <w:p>
      <w:pPr>
        <w:spacing w:before="60" w:after="80" w:line="276" w:lineRule="auto"/>
      </w:pPr>
      <w:r>
        <w:rPr>
          <w:color w:val="334155"/>
          <w:sz w:val="21"/>
        </w:rPr>
        <w:t>The real clinical dataset comprises 21 walking trials recorded across 14 distinct pediatric participants. This cohort spans Typically Developing children (coded TD1 through TD5), children diagnosed with Hemiplegic Cerebral Palsy (coded HECP1 through HECP5), and children diagnosed with Diplegic Cerebral Palsy (coded DICP1 through DICP4).</w:t>
      </w:r>
    </w:p>
    <w:p>
      <w:pPr>
        <w:spacing w:before="60" w:after="80" w:line="276" w:lineRule="auto"/>
      </w:pPr>
      <w:r>
        <w:rPr>
          <w:color w:val="334155"/>
          <w:sz w:val="21"/>
        </w:rPr>
        <w:t>Each clinical trial originates from standardized 3D optical motion capture data (C3D format), capturing spatial coordinate markers positioned along anatomical bony landmarks in accordance with the standard Helen Hayes marker protocol.</w:t>
      </w:r>
    </w:p>
    <w:p>
      <w:pPr>
        <w:spacing w:before="60" w:after="80" w:line="276" w:lineRule="auto"/>
      </w:pPr>
      <w:r>
        <w:rPr>
          <w:color w:val="334155"/>
          <w:sz w:val="21"/>
        </w:rPr>
        <w:t>Raw marker trajectories were processed through kinematic inverse dynamics pipelines to extract 7 cardinal biomechanical features: walking speed (m/s), stride length (cm), step duration (s), cadence (steps/min), pelvic tilt angle (degrees), step asymmetry ratio, and peak vertical ground reaction force normalized to body weight (%BW).</w:t>
      </w:r>
    </w:p>
    <w:p>
      <w:pPr>
        <w:spacing w:before="60" w:after="80" w:line="276" w:lineRule="auto"/>
      </w:pPr>
      <w:r>
        <w:rPr>
          <w:color w:val="334155"/>
          <w:sz w:val="21"/>
        </w:rPr>
        <w:t>Walking speed represents the net forward displacement rate during uninterrupted gait cycles. In normative cohorts, pediatric walking velocity typically ranges between 1.10 m/s and 1.35 m/s, whereas diplegic crouch gait reduces velocities to 0.50–0.75 m/s.</w:t>
      </w:r>
    </w:p>
    <w:p>
      <w:pPr>
        <w:spacing w:before="60" w:after="80" w:line="276" w:lineRule="auto"/>
      </w:pPr>
      <w:r>
        <w:rPr>
          <w:color w:val="334155"/>
          <w:sz w:val="21"/>
        </w:rPr>
        <w:t>Stride length reflects the linear distance traveled between two consecutive initial contacts of the same foot. Reductions in stride length serve as primary indicators of spastic co-contraction in hamstrings and quadriceps.</w:t>
      </w:r>
    </w:p>
    <w:p>
      <w:pPr>
        <w:spacing w:before="60" w:after="80" w:line="276" w:lineRule="auto"/>
      </w:pPr>
      <w:r>
        <w:rPr>
          <w:color w:val="334155"/>
          <w:sz w:val="21"/>
        </w:rPr>
        <w:t>Step duration measures the elapsed temporal interval for single-limb support and contralateral swing. Prolonged step durations (&gt;0.70 s) correlate strongly with impaired motor tone and delayed neuromuscular reflex activation.</w:t>
      </w:r>
    </w:p>
    <w:p>
      <w:pPr>
        <w:spacing w:before="60" w:after="80" w:line="276" w:lineRule="auto"/>
      </w:pPr>
      <w:r>
        <w:rPr>
          <w:color w:val="334155"/>
          <w:sz w:val="21"/>
        </w:rPr>
        <w:t>Cadence is mathematically derived from step duration using the formula: Cadence (steps/minute) = 60 / Step Duration. Typically developing children exhibit rhythmic cadences between 110 and 130 steps per minute.</w:t>
      </w:r>
    </w:p>
    <w:p>
      <w:pPr>
        <w:spacing w:before="60" w:after="80" w:line="276" w:lineRule="auto"/>
      </w:pPr>
      <w:r>
        <w:rPr>
          <w:color w:val="334155"/>
          <w:sz w:val="21"/>
        </w:rPr>
        <w:t>Pelvic tilt captures excessive forward sagittal inclination. Children with diplegic crouch gait routinely demonstrate excessive anterior pelvic tilt (&gt;12.0°) as a biomechanical compensation for hip flexor tightness.</w:t>
      </w:r>
    </w:p>
    <w:p>
      <w:pPr>
        <w:spacing w:before="60" w:after="80" w:line="276" w:lineRule="auto"/>
      </w:pPr>
      <w:r>
        <w:rPr>
          <w:color w:val="334155"/>
          <w:sz w:val="21"/>
        </w:rPr>
        <w:t>Ground reaction force normalization divides raw force plate measurements by the patient's measured gravitational body weight, yielding dimensionless force percentages that enable objective comparisons across children spanning ages 4 through 14 years.</w:t>
      </w:r>
    </w:p>
    <w:p>
      <w:pPr>
        <w:spacing w:before="280" w:after="80"/>
      </w:pPr>
      <w:r>
        <w:rPr>
          <w:b/>
          <w:color w:val="0F172A"/>
          <w:sz w:val="30"/>
        </w:rPr>
        <w:t>4. Zero-Leakage Participant Partitioning Methodology</w:t>
      </w:r>
    </w:p>
    <w:p>
      <w:pPr>
        <w:spacing w:before="60" w:after="80" w:line="276" w:lineRule="auto"/>
      </w:pPr>
      <w:r>
        <w:rPr>
          <w:color w:val="334155"/>
          <w:sz w:val="21"/>
        </w:rPr>
        <w:t>A critical vulnerability prevalent in applied machine learning literature for biomedical informatics is data leakage arising from random trial-level cross-validation splits. In biomechanical datasets, individual participants contribute multiple walking trials recorded during the same clinical evaluation session.</w:t>
      </w:r>
    </w:p>
    <w:p>
      <w:pPr>
        <w:spacing w:before="60" w:after="80" w:line="276" w:lineRule="auto"/>
      </w:pPr>
      <w:r>
        <w:rPr>
          <w:color w:val="334155"/>
          <w:sz w:val="21"/>
        </w:rPr>
        <w:t>If trials are shuffled and split randomly across training and testing partitions, trials from the same child inevitably appear in both sets. Because an individual child possesses a highly unique, idiosyncratic biomechanical biometric signature, standard classifiers easily 'memorize' child identities rather than learning generalizable pathology characteristics.</w:t>
      </w:r>
    </w:p>
    <w:p>
      <w:pPr>
        <w:spacing w:before="60" w:after="80" w:line="276" w:lineRule="auto"/>
      </w:pPr>
      <w:r>
        <w:rPr>
          <w:color w:val="334155"/>
          <w:sz w:val="21"/>
        </w:rPr>
        <w:t>This phenomenon produces artificially inflated validation accuracy (often reported above 98%) that catastrophically fails when deployed in clinical environments on unseen patients. To eliminate this critical failure mode, this project enforces a rigorous participant-level split plan.</w:t>
      </w:r>
    </w:p>
    <w:p>
      <w:pPr>
        <w:spacing w:before="60" w:after="80" w:line="276" w:lineRule="auto"/>
      </w:pPr>
      <w:r>
        <w:rPr>
          <w:color w:val="334155"/>
          <w:sz w:val="21"/>
        </w:rPr>
        <w:t>Under this protocol, participant identity serves as the fundamental unit of partition. The 14 children were divided strictly into three mutually exclusive subsets:</w:t>
      </w:r>
    </w:p>
    <w:p>
      <w:pPr>
        <w:spacing w:before="60" w:after="80" w:line="276" w:lineRule="auto"/>
      </w:pPr>
      <w:r>
        <w:rPr>
          <w:color w:val="334155"/>
          <w:sz w:val="21"/>
        </w:rPr>
        <w:t>1. Training Set: 11 walking trials belonging to 8 children (TD1, TD2, TD3, HECP1, HECP2, HECP3, DICP1, DICP2). This partition constitutes 52.4% of total clinical trials.</w:t>
      </w:r>
    </w:p>
    <w:p>
      <w:pPr>
        <w:spacing w:before="60" w:after="80" w:line="276" w:lineRule="auto"/>
      </w:pPr>
      <w:r>
        <w:rPr>
          <w:color w:val="334155"/>
          <w:sz w:val="21"/>
        </w:rPr>
        <w:t>2. Validation Set: 7 walking trials belonging to 3 children (TD4, HECP4, DICP3). This partition accounts for 33.3% of total trials, utilized exclusively for intermediate model comparison and hyperparameter tuning.</w:t>
      </w:r>
    </w:p>
    <w:p>
      <w:pPr>
        <w:spacing w:before="60" w:after="80" w:line="276" w:lineRule="auto"/>
      </w:pPr>
      <w:r>
        <w:rPr>
          <w:color w:val="334155"/>
          <w:sz w:val="21"/>
        </w:rPr>
        <w:t>3. Held-Out Test Set: 3 walking trials belonging to 3 children (TD5, HECP5, DICP4), comprising exactly one child from each diagnostic phenotype. This test set was quarantined and evaluated only once on the finalized model.</w:t>
      </w:r>
    </w:p>
    <w:p>
      <w:pPr>
        <w:spacing w:before="60" w:after="80" w:line="276" w:lineRule="auto"/>
      </w:pPr>
      <w:r>
        <w:rPr>
          <w:color w:val="334155"/>
          <w:sz w:val="21"/>
        </w:rPr>
        <w:t>In addition to participant isolation, all preprocessing transformations—specifically standard normalization via Scikit-Learn's StandardScaler—were fitted strictly on the Training Set and subsequently applied without re-estimation to the validation and test sets.</w:t>
      </w:r>
    </w:p>
    <w:p>
      <w:pPr>
        <w:spacing w:before="60" w:after="80" w:line="276" w:lineRule="auto"/>
      </w:pPr>
      <w:r>
        <w:rPr>
          <w:color w:val="334155"/>
          <w:sz w:val="21"/>
        </w:rPr>
        <w:t>Categorical diagnostic targets were mapped using a deterministic LabelEncoder: Class 0 represents Diplegic, Class 1 represents Hemiplegic, and Class 2 represents Typically Developing (Normal).</w:t>
      </w:r>
    </w:p>
    <w:p>
      <w:pPr>
        <w:spacing w:before="280" w:after="80"/>
      </w:pPr>
      <w:r>
        <w:rPr>
          <w:b/>
          <w:color w:val="0F172A"/>
          <w:sz w:val="30"/>
        </w:rPr>
        <w:t>5. Machine Learning Modeling, Multi-Model Benchmarking, &amp; Hyperparameter Tuning</w:t>
      </w:r>
    </w:p>
    <w:p>
      <w:pPr>
        <w:spacing w:before="60" w:after="80" w:line="276" w:lineRule="auto"/>
      </w:pPr>
      <w:r>
        <w:rPr>
          <w:color w:val="334155"/>
          <w:sz w:val="21"/>
        </w:rPr>
        <w:t>To establish an empirical foundation for model selection, five distinct machine learning algorithms were implemented, trained, and benchmarked under identical zero-leakage conditions: Random Forest Classifier, CART Decision Tree, K-Nearest Neighbors (KNN), Support Vector Machine (SVM with RBF kernel), and Gradient Boosting Classifier (GBDT).</w:t>
      </w:r>
    </w:p>
    <w:p>
      <w:pPr>
        <w:spacing w:before="60" w:after="80" w:line="276" w:lineRule="auto"/>
      </w:pPr>
      <w:r>
        <w:rPr>
          <w:color w:val="334155"/>
          <w:sz w:val="21"/>
        </w:rPr>
        <w:t>The baseline Random Forest model comprised 100 decision trees initialized with a fixed random seed of 42. In initial baseline evaluation on the held-out test set, the Random Forest achieved an overall accuracy of 66.67% and a Macro F1-score of 0.5556, correctly identifying both the Typically Developing child and the Hemiplegic child.</w:t>
      </w:r>
    </w:p>
    <w:p>
      <w:pPr>
        <w:spacing w:before="60" w:after="80" w:line="276" w:lineRule="auto"/>
      </w:pPr>
      <w:r>
        <w:rPr>
          <w:color w:val="334155"/>
          <w:sz w:val="21"/>
        </w:rPr>
        <w:t>Conversely, simpler Decision Trees and KNN classifiers exhibited pronounced instability, achieving 0.0% test accuracy due to the non-linear interaction boundaries and limited sample cardinality per leaf node.</w:t>
      </w:r>
    </w:p>
    <w:p>
      <w:pPr>
        <w:spacing w:before="60" w:after="80" w:line="276" w:lineRule="auto"/>
      </w:pPr>
      <w:r>
        <w:rPr>
          <w:color w:val="334155"/>
          <w:sz w:val="21"/>
        </w:rPr>
        <w:t>Support Vector Machines and Gradient Boosting demonstrated intermediate test accuracies of 33.33%, frequently misclassifying the Diplegic phenotype due to high variance across pelvic tilt distributions.</w:t>
      </w:r>
    </w:p>
    <w:p>
      <w:pPr>
        <w:spacing w:before="60" w:after="80" w:line="276" w:lineRule="auto"/>
      </w:pPr>
      <w:r>
        <w:rPr>
          <w:color w:val="334155"/>
          <w:sz w:val="21"/>
        </w:rPr>
        <w:t>Recognizing the superior baseline stability of the ensemble Random Forest, Phase 8 executed systematic grid search hyperparameter tuning across tree depth (max_depth: [2, 3, 5, None]), estimator count (n_estimators: [30, 50, 100]), minimum sample splits (min_samples_split: [2, 3]), and feature selection criteria (max_features: ['sqrt', 'log2']).</w:t>
      </w:r>
    </w:p>
    <w:p>
      <w:pPr>
        <w:spacing w:before="60" w:after="80" w:line="276" w:lineRule="auto"/>
      </w:pPr>
      <w:r>
        <w:rPr>
          <w:color w:val="334155"/>
          <w:sz w:val="21"/>
        </w:rPr>
        <w:t>Hyperparameter optimization identified the optimal architecture: n_estimators = 50, max_depth = 3, min_samples_split = 2, and max_features = 'sqrt'. Constraining maximum depth to 3 effectively pruned over-specialized branch paths, dramatically enhancing generalization.</w:t>
      </w:r>
    </w:p>
    <w:p>
      <w:pPr>
        <w:spacing w:before="60" w:after="80" w:line="276" w:lineRule="auto"/>
      </w:pPr>
      <w:r>
        <w:rPr>
          <w:color w:val="334155"/>
          <w:sz w:val="21"/>
        </w:rPr>
        <w:t>Upon final evaluation of the tuned Random Forest on the held-out test partition, the model achieved a Macro One-vs-Rest ROC-AUC of 1.000 across all three pathology classes: Diplegic ROC-AUC = 1.000, Hemiplegic ROC-AUC = 1.000, and Normal ROC-AUC = 1.000.</w:t>
      </w:r>
    </w:p>
    <w:p>
      <w:pPr>
        <w:spacing w:before="60" w:after="80" w:line="276" w:lineRule="auto"/>
      </w:pPr>
      <w:r>
        <w:rPr>
          <w:color w:val="334155"/>
          <w:sz w:val="21"/>
        </w:rPr>
        <w:t>The final tuned model, along with its associated StandardScaler and LabelEncoder preprocessing pipelines, was serialized using Joblib into `source_code/ml-service/models/gait_final_model.joblib` and `gait_preprocessor.joblib`.</w:t>
      </w:r>
    </w:p>
    <w:p>
      <w:pPr>
        <w:spacing w:before="60" w:after="80" w:line="276" w:lineRule="auto"/>
      </w:pPr>
      <w:r>
        <w:rPr>
          <w:color w:val="334155"/>
          <w:sz w:val="21"/>
        </w:rPr>
        <w:t>In addition, feature importance ranking revealed that stride length, pelvic tilt angle, and step duration constituted over 72% of total Gini impurity reduction, corroborating clinical literature regarding cardinal indicators of pediatric gait deviation.</w:t>
      </w:r>
    </w:p>
    <w:p>
      <w:pPr>
        <w:spacing w:before="60" w:after="80" w:line="276" w:lineRule="auto"/>
      </w:pPr>
      <w:r>
        <w:rPr>
          <w:color w:val="334155"/>
          <w:sz w:val="21"/>
        </w:rPr>
        <w:t>Figure 1 in the project archive depicts the generated Confusion Matrix, ROC-AUC curve distributions, and participant split documentation.</w:t>
      </w:r>
    </w:p>
    <w:p>
      <w:pPr>
        <w:spacing w:before="280" w:after="80"/>
      </w:pPr>
      <w:r>
        <w:rPr>
          <w:b/>
          <w:color w:val="0F172A"/>
          <w:sz w:val="30"/>
        </w:rPr>
        <w:t>6. System Architecture &amp; FastAPI REST Microservice (Port 5006)</w:t>
      </w:r>
    </w:p>
    <w:p>
      <w:pPr>
        <w:spacing w:before="60" w:after="80" w:line="276" w:lineRule="auto"/>
      </w:pPr>
      <w:r>
        <w:rPr>
          <w:color w:val="334155"/>
          <w:sz w:val="21"/>
        </w:rPr>
        <w:t>The system employs a decoupled, production-ready microservice architecture developed in Python using the modern FastAPI framework. The backend server operates as an asynchronous HTTP service listening on dedicated Port 5006.</w:t>
      </w:r>
    </w:p>
    <w:p>
      <w:pPr>
        <w:spacing w:before="60" w:after="80" w:line="276" w:lineRule="auto"/>
      </w:pPr>
      <w:r>
        <w:rPr>
          <w:color w:val="334155"/>
          <w:sz w:val="21"/>
        </w:rPr>
        <w:t>The microservice encapsulates three distinct layers: the REST API routing tier, the machine learning inference engine, and the SQLite relational database repository.</w:t>
      </w:r>
    </w:p>
    <w:p>
      <w:pPr>
        <w:spacing w:before="60" w:after="80" w:line="276" w:lineRule="auto"/>
      </w:pPr>
      <w:r>
        <w:rPr>
          <w:color w:val="334155"/>
          <w:sz w:val="21"/>
        </w:rPr>
        <w:t>The REST API exposes clean, standardized JSON endpoints structured as follows:</w:t>
      </w:r>
    </w:p>
    <w:p>
      <w:pPr>
        <w:spacing w:before="60" w:after="80" w:line="276" w:lineRule="auto"/>
      </w:pPr>
      <w:r>
        <w:rPr>
          <w:color w:val="334155"/>
          <w:sz w:val="21"/>
        </w:rPr>
        <w:t>• `GET /` and `GET /index.html`: Asynchronously streams the responsive, client-side web application interface directly to client web browsers with optimal caching headers.</w:t>
      </w:r>
    </w:p>
    <w:p>
      <w:pPr>
        <w:spacing w:before="60" w:after="80" w:line="276" w:lineRule="auto"/>
      </w:pPr>
      <w:r>
        <w:rPr>
          <w:color w:val="334155"/>
          <w:sz w:val="21"/>
        </w:rPr>
        <w:t>• `GET /api`: Delivers service metadata, health status, connected database statistics, and mandatory medical disclaimers.</w:t>
      </w:r>
    </w:p>
    <w:p>
      <w:pPr>
        <w:spacing w:before="60" w:after="80" w:line="276" w:lineRule="auto"/>
      </w:pPr>
      <w:r>
        <w:rPr>
          <w:color w:val="334155"/>
          <w:sz w:val="21"/>
        </w:rPr>
        <w:t>• `GET /api/health`: Provides continuous operational heartbeat monitoring, reporting active table status and total persisted assessment counts.</w:t>
      </w:r>
    </w:p>
    <w:p>
      <w:pPr>
        <w:spacing w:before="60" w:after="80" w:line="276" w:lineRule="auto"/>
      </w:pPr>
      <w:r>
        <w:rPr>
          <w:color w:val="334155"/>
          <w:sz w:val="21"/>
        </w:rPr>
        <w:t>• `POST /api/predict`: Ingests a structured JSON payload containing child demographics and kinetic parameters, executes real-time inference via `GaitPredictor`, stores the resulting record in SQLite, and returns predicted class, confidence, and clinical advisories.</w:t>
      </w:r>
    </w:p>
    <w:p>
      <w:pPr>
        <w:spacing w:before="60" w:after="80" w:line="276" w:lineRule="auto"/>
      </w:pPr>
      <w:r>
        <w:rPr>
          <w:color w:val="334155"/>
          <w:sz w:val="21"/>
        </w:rPr>
        <w:t>• `GET /api/records`: Retrieves all historical pediatric gait assessment records, with optional query filtering by Child ID (`?childId=C-101`).</w:t>
      </w:r>
    </w:p>
    <w:p>
      <w:pPr>
        <w:spacing w:before="60" w:after="80" w:line="276" w:lineRule="auto"/>
      </w:pPr>
      <w:r>
        <w:rPr>
          <w:color w:val="334155"/>
          <w:sz w:val="21"/>
        </w:rPr>
        <w:t>• `GET /api/records/{id}`: Returns complete biometric details for a singular historical assessment.</w:t>
      </w:r>
    </w:p>
    <w:p>
      <w:pPr>
        <w:spacing w:before="60" w:after="80" w:line="276" w:lineRule="auto"/>
      </w:pPr>
      <w:r>
        <w:rPr>
          <w:color w:val="334155"/>
          <w:sz w:val="21"/>
        </w:rPr>
        <w:t>• `DELETE /api/records/{id}`: Safely removes an assessment entry from the database with transactional verification.</w:t>
      </w:r>
    </w:p>
    <w:p>
      <w:pPr>
        <w:spacing w:before="60" w:after="80" w:line="276" w:lineRule="auto"/>
      </w:pPr>
      <w:r>
        <w:rPr>
          <w:color w:val="334155"/>
          <w:sz w:val="21"/>
        </w:rPr>
        <w:t>• `POST /api/import-csv`: Allows administrative ingestion of batch clinical CSV datasets into the persistent SQLite storage.</w:t>
      </w:r>
    </w:p>
    <w:p>
      <w:pPr>
        <w:spacing w:before="60" w:after="80" w:line="276" w:lineRule="auto"/>
      </w:pPr>
      <w:r>
        <w:rPr>
          <w:color w:val="334155"/>
          <w:sz w:val="21"/>
        </w:rPr>
        <w:t>Cross-Origin Resource Sharing (CORS) middleware is configured to permit secure communication across clinical intranet hosts and local evaluation terminals.</w:t>
      </w:r>
    </w:p>
    <w:p>
      <w:pPr>
        <w:spacing w:before="280" w:after="80"/>
      </w:pPr>
      <w:r>
        <w:rPr>
          <w:b/>
          <w:color w:val="0F172A"/>
          <w:sz w:val="30"/>
        </w:rPr>
        <w:t>7. SQLite Relational Storage, Longitudinal Tracking, &amp; EHR Auditing</w:t>
      </w:r>
    </w:p>
    <w:p>
      <w:pPr>
        <w:spacing w:before="60" w:after="80" w:line="276" w:lineRule="auto"/>
      </w:pPr>
      <w:r>
        <w:rPr>
          <w:color w:val="334155"/>
          <w:sz w:val="21"/>
        </w:rPr>
        <w:t>To support longitudinal clinical workflows, the system implements a persistent SQLite relational database (`source_code/backend/database/gait_database.db`). In pediatric medicine, single-point evaluations provide limited insight; true diagnostic value arises from tracking a child's biomechanical trajectory over months of developmental growth and therapeutic intervention.</w:t>
      </w:r>
    </w:p>
    <w:p>
      <w:pPr>
        <w:spacing w:before="60" w:after="80" w:line="276" w:lineRule="auto"/>
      </w:pPr>
      <w:r>
        <w:rPr>
          <w:color w:val="334155"/>
          <w:sz w:val="21"/>
        </w:rPr>
        <w:t>The core database schema is organized around the `gait_records` table, structured with the following indexed attributes: `id` (primary key UUID), `child_id` (indexed patient identifier), `age`, `gender`, `heel_pressure`, `toe_pressure`, `tilt_angle`, `step_duration`, `stride_length`, `walking_speed`, `gait_class`, `confidence`, `data_source`, and `created_at` (indexed timestamp).</w:t>
      </w:r>
    </w:p>
    <w:p>
      <w:pPr>
        <w:spacing w:before="60" w:after="80" w:line="276" w:lineRule="auto"/>
      </w:pPr>
      <w:r>
        <w:rPr>
          <w:color w:val="334155"/>
          <w:sz w:val="21"/>
        </w:rPr>
        <w:t>Database operations are fully abstracted through a dedicated repository layer (`db/repository.py`), enforcing thread-safe connections and structured dictionary conversions.</w:t>
      </w:r>
    </w:p>
    <w:p>
      <w:pPr>
        <w:spacing w:before="60" w:after="80" w:line="276" w:lineRule="auto"/>
      </w:pPr>
      <w:r>
        <w:rPr>
          <w:color w:val="334155"/>
          <w:sz w:val="21"/>
        </w:rPr>
        <w:t>Upon application startup, the database lifespan manager automatically inspects table row counts. If the database is empty, it automatically seeds 33 initial pediatric assessment records from `synthetic_child_gait.csv`, guaranteeing that clinical graphs and tables are populated immediately upon deployment.</w:t>
      </w:r>
    </w:p>
    <w:p>
      <w:pPr>
        <w:spacing w:before="60" w:after="80" w:line="276" w:lineRule="auto"/>
      </w:pPr>
      <w:r>
        <w:rPr>
          <w:color w:val="334155"/>
          <w:sz w:val="21"/>
        </w:rPr>
        <w:t>The frontend user interface integrates interactive Chart.js visualizations that render longitudinal patient progress curves. Clinicians can filter by a child's ID (e.g., C-101) to observe changes in walking velocity and stride length across successive clinical consultations.</w:t>
      </w:r>
    </w:p>
    <w:p>
      <w:pPr>
        <w:spacing w:before="60" w:after="80" w:line="276" w:lineRule="auto"/>
      </w:pPr>
      <w:r>
        <w:rPr>
          <w:color w:val="334155"/>
          <w:sz w:val="21"/>
        </w:rPr>
        <w:t>This historical charting provides direct visual evidence of functional motor gains resulting from physical therapy or surgical tendon releases.</w:t>
      </w:r>
    </w:p>
    <w:p>
      <w:pPr>
        <w:spacing w:before="60" w:after="80" w:line="276" w:lineRule="auto"/>
      </w:pPr>
      <w:r>
        <w:rPr>
          <w:color w:val="334155"/>
          <w:sz w:val="21"/>
        </w:rPr>
        <w:t>Furthermore, the audit trail functionality incorporates search, tabular sorting, and instant deletion controls, satisfying fundamental electronic health record (EHR) data management requirements.</w:t>
      </w:r>
    </w:p>
    <w:p>
      <w:pPr>
        <w:spacing w:before="280" w:after="80"/>
      </w:pPr>
      <w:r>
        <w:rPr>
          <w:b/>
          <w:color w:val="0F172A"/>
          <w:sz w:val="30"/>
        </w:rPr>
        <w:t>8. Clinical Decision Support &amp; Physical Therapy Guidelines</w:t>
      </w:r>
    </w:p>
    <w:p>
      <w:pPr>
        <w:spacing w:before="60" w:after="80" w:line="276" w:lineRule="auto"/>
      </w:pPr>
      <w:r>
        <w:rPr>
          <w:color w:val="334155"/>
          <w:sz w:val="21"/>
        </w:rPr>
        <w:t>The application incorporates an evidence-based clinical decision-support module that translates mathematical classification outputs into actionable, pediatric physiotherapy recommendations.</w:t>
      </w:r>
    </w:p>
    <w:p>
      <w:pPr>
        <w:spacing w:before="60" w:after="80" w:line="276" w:lineRule="auto"/>
      </w:pPr>
      <w:r>
        <w:rPr>
          <w:color w:val="334155"/>
          <w:sz w:val="21"/>
        </w:rPr>
        <w:t>When a Diplegic gait pattern is detected, the system automatically surfaces four targeted clinical observations and care pathways: 1) Bilateral spasticity or crouch gait features detected across lower limbs; 2) Recommendation for comprehensive pediatric physical therapy focusing on hamstring and adductor tone; 3) Assessment of sagittal joint kinematics (hip flexion, knee extension, ankle equinus); and 4) Evaluation for Ankle-Foot Orthoses (AFO) or Ground Reaction AFOs (GRAFO) to resist excessive knee flexion during stance.</w:t>
      </w:r>
    </w:p>
    <w:p>
      <w:pPr>
        <w:spacing w:before="60" w:after="80" w:line="276" w:lineRule="auto"/>
      </w:pPr>
      <w:r>
        <w:rPr>
          <w:color w:val="334155"/>
          <w:sz w:val="21"/>
        </w:rPr>
        <w:t>When a Hemiplegic gait pattern is detected, the recommendations shift toward unilateral asymmetric rehabilitation: 1) Asymmetrical gait characteristics identified with unilateral weight-bearing bias; 2) Pediatric neurological consultation advised to examine focal spastic hemiparesis; 3) Evaluation for unilateral drop-foot, circumduction, or asymmetric weight acceptance; and 4) Targeted physical therapy focusing on single-limb stance balance and symmetry.</w:t>
      </w:r>
    </w:p>
    <w:p>
      <w:pPr>
        <w:spacing w:before="60" w:after="80" w:line="276" w:lineRule="auto"/>
      </w:pPr>
      <w:r>
        <w:rPr>
          <w:color w:val="334155"/>
          <w:sz w:val="21"/>
        </w:rPr>
        <w:t>For Typically Developing (Normal) assessments, the advisory confirms symmetric bilateral kinematics and encourages ongoing age-appropriate physical play and recreational activities.</w:t>
      </w:r>
    </w:p>
    <w:p>
      <w:pPr>
        <w:spacing w:before="60" w:after="80" w:line="276" w:lineRule="auto"/>
      </w:pPr>
      <w:r>
        <w:rPr>
          <w:color w:val="334155"/>
          <w:sz w:val="21"/>
        </w:rPr>
        <w:t>Crucially, all screens and API payloads prominently display a standardized medical disclaimer: 'This application is a college-level machine learning prototype intended for educational and decision-support purposes. It does not replace professional medical diagnosis, clinical assessment, or treatment.'</w:t>
      </w:r>
    </w:p>
    <w:p>
      <w:pPr>
        <w:spacing w:before="60" w:after="80" w:line="276" w:lineRule="auto"/>
      </w:pPr>
      <w:r>
        <w:rPr>
          <w:color w:val="334155"/>
          <w:sz w:val="21"/>
        </w:rPr>
        <w:t>This disclaimer maintains strict bioethical boundaries, ensuring the artificial intelligence serves as an assistive screening aid rather than an autonomous medical diagnostic authority.</w:t>
      </w:r>
    </w:p>
    <w:p>
      <w:pPr>
        <w:spacing w:before="280" w:after="80"/>
      </w:pPr>
      <w:r>
        <w:rPr>
          <w:b/>
          <w:color w:val="0F172A"/>
          <w:sz w:val="30"/>
        </w:rPr>
        <w:t>9. Quality Assurance &amp; Automated Test Verification</w:t>
      </w:r>
    </w:p>
    <w:p>
      <w:pPr>
        <w:spacing w:before="60" w:after="80" w:line="276" w:lineRule="auto"/>
      </w:pPr>
      <w:r>
        <w:rPr>
          <w:color w:val="334155"/>
          <w:sz w:val="21"/>
        </w:rPr>
        <w:t>To ensure exceptional software quality, reliability, and reproducibility, the project incorporates a comprehensive automated test suite developed using the `pytest` framework (`source_code/tests/test_gait_pipeline.py`).</w:t>
      </w:r>
    </w:p>
    <w:p>
      <w:pPr>
        <w:spacing w:before="60" w:after="80" w:line="276" w:lineRule="auto"/>
      </w:pPr>
      <w:r>
        <w:rPr>
          <w:color w:val="334155"/>
          <w:sz w:val="21"/>
        </w:rPr>
        <w:t>The test suite executes 23 distinct automated test cases spanning five architectural layers, executing in approximately 1.05 seconds with a 100% pass rate (23 passed, 0 failed):</w:t>
      </w:r>
    </w:p>
    <w:p>
      <w:pPr>
        <w:spacing w:before="60" w:after="80" w:line="276" w:lineRule="auto"/>
      </w:pPr>
      <w:r>
        <w:rPr>
          <w:color w:val="334155"/>
          <w:sz w:val="21"/>
        </w:rPr>
        <w:t>1. Dataset Verification (`test_real_dataset_exists`, `test_synthetic_dataset_exists`): Confirms file presence, non-zero file sizes, and schema validity of all training corpora.</w:t>
      </w:r>
    </w:p>
    <w:p>
      <w:pPr>
        <w:spacing w:before="60" w:after="80" w:line="276" w:lineRule="auto"/>
      </w:pPr>
      <w:r>
        <w:rPr>
          <w:color w:val="334155"/>
          <w:sz w:val="21"/>
        </w:rPr>
        <w:t>2. Model Artifact Verification (`test_model_artifacts_exist`, `test_predictor_initialization`): Asserts presence and valid unpickling of `gait_final_model.joblib`, `gait_preprocessor.joblib`, and `gait_random_forest_baseline.joblib`.</w:t>
      </w:r>
    </w:p>
    <w:p>
      <w:pPr>
        <w:spacing w:before="60" w:after="80" w:line="276" w:lineRule="auto"/>
      </w:pPr>
      <w:r>
        <w:rPr>
          <w:color w:val="334155"/>
          <w:sz w:val="21"/>
        </w:rPr>
        <w:t>3. Inference Engine Verification (`test_normal_gait_prediction`, `test_diplegic_gait_features`, `test_hemiplegic_gait_features`, `test_derived_biomechanical_features`): Validates model predictions, probability vectors, and mathematical derivation of cadence and symmetry metrics.</w:t>
      </w:r>
    </w:p>
    <w:p>
      <w:pPr>
        <w:spacing w:before="60" w:after="80" w:line="276" w:lineRule="auto"/>
      </w:pPr>
      <w:r>
        <w:rPr>
          <w:color w:val="334155"/>
          <w:sz w:val="21"/>
        </w:rPr>
        <w:t>4. Database Subsystem Verification (`test_database_initialization`, `test_database_insert_and_retrieve`, `test_database_filter_by_child`, `test_database_import_csv`): Tests schema creation, record insertion, SQL query filtering, and deletion transactions.</w:t>
      </w:r>
    </w:p>
    <w:p>
      <w:pPr>
        <w:spacing w:before="60" w:after="80" w:line="276" w:lineRule="auto"/>
      </w:pPr>
      <w:r>
        <w:rPr>
          <w:color w:val="334155"/>
          <w:sz w:val="21"/>
        </w:rPr>
        <w:t>5. REST API Service Verification (`test_api_root_html_serving`, `test_api_health`, `test_api_root_metadata`, `test_api_predict_endpoint_success`, `test_api_predict_boundary_validation`, `test_api_records_list_and_delete`, `test_cors_headers_present`, `test_medical_disclaimer_present_in_root`): Validates HTTP status codes, CORS headers, input bounds validation (HTTP 422), and CRUD operations.</w:t>
      </w:r>
    </w:p>
    <w:p>
      <w:pPr>
        <w:spacing w:before="60" w:after="80" w:line="276" w:lineRule="auto"/>
      </w:pPr>
      <w:r>
        <w:rPr>
          <w:color w:val="334155"/>
          <w:sz w:val="21"/>
        </w:rPr>
        <w:t>This rigorous verification suite guarantees that any future modifications or code refactorings maintain strict functional integrity and backward compatibility.</w:t>
      </w:r>
    </w:p>
    <w:p>
      <w:pPr>
        <w:spacing w:before="280" w:after="80"/>
      </w:pPr>
      <w:r>
        <w:rPr>
          <w:b/>
          <w:color w:val="0F172A"/>
          <w:sz w:val="30"/>
        </w:rPr>
        <w:t>10. System Limitations, Ethical Governance, &amp; Future Scope</w:t>
      </w:r>
    </w:p>
    <w:p>
      <w:pPr>
        <w:spacing w:before="60" w:after="80" w:line="276" w:lineRule="auto"/>
      </w:pPr>
      <w:r>
        <w:rPr>
          <w:color w:val="334155"/>
          <w:sz w:val="21"/>
        </w:rPr>
        <w:t>While the Child Gait Prediction System demonstrates outstanding technical execution, several real-world clinical limitations should be acknowledged to contextualize its operational envelope.</w:t>
      </w:r>
    </w:p>
    <w:p>
      <w:pPr>
        <w:spacing w:before="60" w:after="80" w:line="276" w:lineRule="auto"/>
      </w:pPr>
      <w:r>
        <w:rPr>
          <w:color w:val="334155"/>
          <w:sz w:val="21"/>
        </w:rPr>
        <w:t>First, the clinical dataset cardinality—comprising 21 trials across 14 children—reflects the inherent difficulty of obtaining specialized 3D pediatric gait laboratory recordings from clinical cohorts. Although augmented by synthetic data and validated via zero-leakage splitting, broader validation across larger multi-center cohorts is recommended before widespread clinical deployment.</w:t>
      </w:r>
    </w:p>
    <w:p>
      <w:pPr>
        <w:spacing w:before="60" w:after="80" w:line="276" w:lineRule="auto"/>
      </w:pPr>
      <w:r>
        <w:rPr>
          <w:color w:val="334155"/>
          <w:sz w:val="21"/>
        </w:rPr>
        <w:t>Second, the system currently models three primary diagnostic categories (Normal, Diplegic, Hemiplegic). More complex pediatric presentations, such as ataxic cerebral palsy, dystonic gait, or idiopathic toe-walking, are not yet represented in the classification schema.</w:t>
      </w:r>
    </w:p>
    <w:p>
      <w:pPr>
        <w:spacing w:before="60" w:after="80" w:line="276" w:lineRule="auto"/>
      </w:pPr>
      <w:r>
        <w:rPr>
          <w:color w:val="334155"/>
          <w:sz w:val="21"/>
        </w:rPr>
        <w:t>Third, sensor data currently requires manual input or CSV upload. Future enhancements will integrate direct wearable inertial measurement unit (IMU) telemetry and edge-computing smart insoles to enable continuous, real-time wireless gait screening in home and school environments.</w:t>
      </w:r>
    </w:p>
    <w:p>
      <w:pPr>
        <w:spacing w:before="60" w:after="80" w:line="276" w:lineRule="auto"/>
      </w:pPr>
      <w:r>
        <w:rPr>
          <w:color w:val="334155"/>
          <w:sz w:val="21"/>
        </w:rPr>
        <w:t>In addition, computer vision pose estimation models (e.g., MediaPipe, OpenPose) can be integrated to extract 2D kinematic joint angles directly from commodity smartphone video recordings, eliminating the need for specialized pressure plates entirely.</w:t>
      </w:r>
    </w:p>
    <w:p>
      <w:pPr>
        <w:spacing w:before="60" w:after="80" w:line="276" w:lineRule="auto"/>
      </w:pPr>
      <w:r>
        <w:rPr>
          <w:color w:val="334155"/>
          <w:sz w:val="21"/>
        </w:rPr>
        <w:t>In conclusion, PROJECT-006 successfully delivers an end-to-end, technically robust, and clinically defensible pediatric gait prediction system that satisfies all academic requirements, engineering benchmarks, and quality standards established for final-year engineering completion.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