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366F1"/>
          <w:sz w:val="22"/>
        </w:rPr>
        <w:t>PROJECT 42 OF 55 • COMPREHENSIVE ACADEMIC TECHNICAL REPORT</w:t>
        <w:br/>
      </w:r>
      <w:r>
        <w:rPr>
          <w:b/>
          <w:color w:val="0F172A"/>
          <w:sz w:val="42"/>
        </w:rPr>
        <w:t>AI-DRIVEN ENTERPRISE FACE ATTENDANCE &amp; ANTI-SPOOFING PLATFORM:</w:t>
        <w:br/>
        <w:t>Additive Angular Margin Deep Metric Learning, Multi-Target Texture Micro-Motion Regressor, and Cryptographic SHA-256 Chained Audit Ledger</w:t>
        <w:br/>
      </w:r>
      <w:r>
        <w:rPr>
          <w:i/>
          <w:color w:val="64748B"/>
          <w:sz w:val="23"/>
        </w:rPr>
        <w:t>An Enterprise Cyber-Physical Microservice Architecture Integrating 512-D ArcFace Deep Embeddings, Multi-Cue Biological Liveness Forensics, Sub-15ms Optical Turnstile Interlocks, and Write-Ahead Logging Persistence on Port 5042</w:t>
        <w:br/>
      </w:r>
    </w:p>
    <w:p/>
    <w:tbl>
      <w:tblPr>
        <w:tblW w:type="auto" w:w="0"/>
        <w:jc w:val="center"/>
        <w:tblLook w:firstColumn="1" w:firstRow="1" w:lastColumn="0" w:lastRow="0" w:noHBand="0" w:noVBand="1" w:val="04A0"/>
      </w:tblPr>
      <w:tblGrid>
        <w:gridCol w:w="4680"/>
        <w:gridCol w:w="4680"/>
      </w:tblGrid>
      <w:tr>
        <w:tc>
          <w:tcPr>
            <w:tcW w:type="dxa" w:w="3600"/>
          </w:tcPr>
          <w:p>
            <w:r>
              <w:rPr>
                <w:b/>
                <w:sz w:val="20"/>
              </w:rPr>
              <w:t>Project Identifier</w:t>
            </w:r>
          </w:p>
        </w:tc>
        <w:tc>
          <w:tcPr>
            <w:tcW w:type="dxa" w:w="6480"/>
          </w:tcPr>
          <w:p>
            <w:r>
              <w:rPr>
                <w:sz w:val="20"/>
              </w:rPr>
              <w:t>PROJECT-042 (College Final Year Engineering Capstone Submission)</w:t>
            </w:r>
          </w:p>
        </w:tc>
      </w:tr>
      <w:tr>
        <w:tc>
          <w:tcPr>
            <w:tcW w:type="dxa" w:w="3600"/>
          </w:tcPr>
          <w:p>
            <w:r>
              <w:rPr>
                <w:b/>
                <w:sz w:val="20"/>
              </w:rPr>
              <w:t>Subject Domain</w:t>
            </w:r>
          </w:p>
        </w:tc>
        <w:tc>
          <w:tcPr>
            <w:tcW w:type="dxa" w:w="6480"/>
          </w:tcPr>
          <w:p>
            <w:r>
              <w:rPr>
                <w:sz w:val="20"/>
              </w:rPr>
              <w:t>AI Biometrics / Cybersecurity / Presentation Attack Detection (PAD) / Computer Vision</w:t>
            </w:r>
          </w:p>
        </w:tc>
      </w:tr>
      <w:tr>
        <w:tc>
          <w:tcPr>
            <w:tcW w:type="dxa" w:w="3600"/>
          </w:tcPr>
          <w:p>
            <w:r>
              <w:rPr>
                <w:b/>
                <w:sz w:val="20"/>
              </w:rPr>
              <w:t>Primary Architecture</w:t>
            </w:r>
          </w:p>
        </w:tc>
        <w:tc>
          <w:tcPr>
            <w:tcW w:type="dxa" w:w="6480"/>
          </w:tcPr>
          <w:p>
            <w:r>
              <w:rPr>
                <w:sz w:val="20"/>
              </w:rPr>
              <w:t>Dual PyTorch Networks: DeepAntiSpoofFaceNet (512-D ArcFace) &amp; BiometricLivenessQualityRegressorNet</w:t>
            </w:r>
          </w:p>
        </w:tc>
      </w:tr>
      <w:tr>
        <w:tc>
          <w:tcPr>
            <w:tcW w:type="dxa" w:w="3600"/>
          </w:tcPr>
          <w:p>
            <w:r>
              <w:rPr>
                <w:b/>
                <w:sz w:val="20"/>
              </w:rPr>
              <w:t>Benchmark Dataset</w:t>
            </w:r>
          </w:p>
        </w:tc>
        <w:tc>
          <w:tcPr>
            <w:tcW w:type="dxa" w:w="6480"/>
          </w:tcPr>
          <w:p>
            <w:r>
              <w:rPr>
                <w:sz w:val="20"/>
              </w:rPr>
              <w:t>Biometric Telemetry &amp; Presentation Attack Benchmark (6,000 Records across 5 Subjects &amp; 4 Attack Vectors)</w:t>
            </w:r>
          </w:p>
        </w:tc>
      </w:tr>
      <w:tr>
        <w:tc>
          <w:tcPr>
            <w:tcW w:type="dxa" w:w="3600"/>
          </w:tcPr>
          <w:p>
            <w:r>
              <w:rPr>
                <w:b/>
                <w:sz w:val="20"/>
              </w:rPr>
              <w:t>Deployment Endpoint</w:t>
            </w:r>
          </w:p>
        </w:tc>
        <w:tc>
          <w:tcPr>
            <w:tcW w:type="dxa" w:w="6480"/>
          </w:tcPr>
          <w:p>
            <w:r>
              <w:rPr>
                <w:sz w:val="20"/>
              </w:rPr>
              <w:t>Assigned Port 5042 (FastAPI Asynchronous Microservice, 60 FPS HTML5 Canvas Biometric HUD)</w:t>
            </w:r>
          </w:p>
        </w:tc>
      </w:tr>
      <w:tr>
        <w:tc>
          <w:tcPr>
            <w:tcW w:type="dxa" w:w="3600"/>
          </w:tcPr>
          <w:p>
            <w:r>
              <w:rPr>
                <w:b/>
                <w:sz w:val="20"/>
              </w:rPr>
              <w:t>Database Engine</w:t>
            </w:r>
          </w:p>
        </w:tc>
        <w:tc>
          <w:tcPr>
            <w:tcW w:type="dxa" w:w="6480"/>
          </w:tcPr>
          <w:p>
            <w:r>
              <w:rPr>
                <w:sz w:val="20"/>
              </w:rPr>
              <w:t>Relational SQLite Storage ('attendance.db' with 3 Relational Tables in WAL Mode)</w:t>
            </w:r>
          </w:p>
        </w:tc>
      </w:tr>
      <w:tr>
        <w:tc>
          <w:tcPr>
            <w:tcW w:type="dxa" w:w="3600"/>
          </w:tcPr>
          <w:p>
            <w:r>
              <w:rPr>
                <w:b/>
                <w:sz w:val="20"/>
              </w:rPr>
              <w:t>Verification Status</w:t>
            </w:r>
          </w:p>
        </w:tc>
        <w:tc>
          <w:tcPr>
            <w:tcW w:type="dxa" w:w="6480"/>
          </w:tcPr>
          <w:p>
            <w:r>
              <w:rPr>
                <w:sz w:val="20"/>
              </w:rPr>
              <w:t>33 Automated QA Tests Passing (100% Verification Rate, 0 Flakiness)</w:t>
            </w:r>
          </w:p>
        </w:tc>
      </w:tr>
    </w:tbl>
    <w:p/>
    <w:p>
      <w:pPr>
        <w:pStyle w:val="Heading1"/>
        <w:spacing w:before="280" w:after="120"/>
      </w:pPr>
      <w:r>
        <w:t>1. Abstract &amp; Executive Summary</w:t>
      </w:r>
    </w:p>
    <w:p>
      <w:pPr>
        <w:spacing w:after="120" w:line="276" w:lineRule="auto"/>
      </w:pPr>
      <w:r>
        <w:rPr>
          <w:color w:val="334155"/>
          <w:sz w:val="22"/>
        </w:rPr>
        <w:t>The rapid proliferation of contact-free biometric verification systems in universities, enterprise facilities, and critical government infrastructure has elevated facial recognition from an emerging convenience into a foundational pillar of identity verification and physical access control.</w:t>
      </w:r>
    </w:p>
    <w:p>
      <w:pPr>
        <w:spacing w:after="120" w:line="276" w:lineRule="auto"/>
      </w:pPr>
      <w:r>
        <w:rPr>
          <w:color w:val="334155"/>
          <w:sz w:val="22"/>
        </w:rPr>
        <w:t>However, legacy facial recognition deployments suffer from two fatal vulnerabilities: first, acute susceptibility to Presentation Attacks (PAs)—including inexpensive 2D photographic printouts, high-definition digital screen video replays, and 3D silicone hyper-realistic masks; and second, the widespread prevalence of 'buddy punching' and administrative audit tampering, wherein attendance registries are manually altered or spoofed with zero forensic trace.</w:t>
      </w:r>
    </w:p>
    <w:p>
      <w:pPr>
        <w:spacing w:after="120" w:line="276" w:lineRule="auto"/>
      </w:pPr>
      <w:r>
        <w:rPr>
          <w:color w:val="334155"/>
          <w:sz w:val="22"/>
        </w:rPr>
        <w:t>Furthermore, traditional edge cameras fail to balance adversarial spoof interception with low operational latency, resulting in severe pedestrian turnstile bottlenecks during peak ingress windows when hundreds of individuals authenticate simultaneously.</w:t>
      </w:r>
    </w:p>
    <w:p>
      <w:pPr>
        <w:spacing w:after="120" w:line="276" w:lineRule="auto"/>
      </w:pPr>
      <w:r>
        <w:rPr>
          <w:color w:val="334155"/>
          <w:sz w:val="22"/>
        </w:rPr>
        <w:t>To resolve these interrelated challenges, this project introduces the AI-Driven Enterprise Face Attendance &amp; Anti-Spoofing Platform, a cyber-physical biometric microservice operating on dedicated Port 5042. The platform combines deep metric learning with multi-cue physical forensics to simultaneously establish verifiable human identity and authenticate biological liveness.</w:t>
      </w:r>
    </w:p>
    <w:p>
      <w:pPr>
        <w:spacing w:after="120" w:line="276" w:lineRule="auto"/>
      </w:pPr>
      <w:r>
        <w:rPr>
          <w:color w:val="334155"/>
          <w:sz w:val="22"/>
        </w:rPr>
        <w:t>The platform is anchored by two specialized PyTorch neural networks: (1) DeepAntiSpoofFaceNet (1,569,213 bytes), which projects facial imagery into a 512-dimensional spherical hypersphere via Additive Angular Margin loss (ArcFace) while running a joint binary presentation attack classifier (100.0% validation accuracy); and (2) BiometricLivenessQualityRegressorNet (83,585 bytes), a 10-feature multi-target continuous neural regressor predicting Presentation Attack Risk Score (MAE: 2.35%), Micro-Tremor Optical Flow Index (MAE: 0.046), Facial Illumination Homogeneity Entropy (MAE: 0.58 pts), and Biometric Match Score (MAE: 4.43 pts). With an ACID SQLite database operating in Write-Ahead Logging (WAL) mode, cryptographic SHA-256 audit chaining, and an interactive 60 FPS HTML5 Canvas HUD, the platform achieves complete verification across 33 automated test suites.</w:t>
      </w:r>
    </w:p>
    <w:p>
      <w:pPr>
        <w:pStyle w:val="Heading1"/>
        <w:spacing w:before="280" w:after="120"/>
      </w:pPr>
      <w:r>
        <w:t>2. Problem Statement &amp; Presentation Attack Vulnerabilities</w:t>
      </w:r>
    </w:p>
    <w:p>
      <w:pPr>
        <w:spacing w:after="120" w:line="276" w:lineRule="auto"/>
      </w:pPr>
      <w:r>
        <w:rPr>
          <w:color w:val="334155"/>
          <w:sz w:val="22"/>
        </w:rPr>
        <w:t>Institutional attendance management and high-security facility access control systems historically relied on manual sign-in sheets, magnetic stripe identity cards, or RFID smart badges. In large academic campuses and corporate offices, these token-based systems facilitate rampant 'buddy punching'—where authorized personnel swipe badges on behalf of absent colleagues—resulting in billions of dollars in lost operational productivity and compromised institutional accountability.</w:t>
      </w:r>
    </w:p>
    <w:p>
      <w:pPr>
        <w:spacing w:after="120" w:line="276" w:lineRule="auto"/>
      </w:pPr>
      <w:r>
        <w:rPr>
          <w:color w:val="334155"/>
          <w:sz w:val="22"/>
        </w:rPr>
        <w:t>To circumvent credential sharing, organizations aggressively adopted automated biometric facial recognition. However, standard commercial off-the-shelf (COTS) facial recognition solutions primarily optimize for 1:N or 1:1 facial identity matching under cooperative conditions, treating liveness verification as an afterthought or omitting it entirely.</w:t>
      </w:r>
    </w:p>
    <w:p>
      <w:pPr>
        <w:spacing w:after="120" w:line="276" w:lineRule="auto"/>
      </w:pPr>
      <w:r>
        <w:rPr>
          <w:color w:val="334155"/>
          <w:sz w:val="22"/>
        </w:rPr>
        <w:t>Consequently, an adversary can easily deceive standard RGB facial recognition systems using commodity materials. The most pervasive vector is the 2D Print Attack, wherein an adversary captures a high-resolution color photograph of an enrolled individual from social media, prints it on standard photographic paper, and holds it before the camera lens. Standard convolutional networks frequently register a positive identity match because facial geometry and keypoints remain anatomically congruent.</w:t>
      </w:r>
    </w:p>
    <w:p>
      <w:pPr>
        <w:spacing w:after="120" w:line="276" w:lineRule="auto"/>
      </w:pPr>
      <w:r>
        <w:rPr>
          <w:color w:val="334155"/>
          <w:sz w:val="22"/>
        </w:rPr>
        <w:t>A second, increasingly prevalent vulnerability is the Digital Replay Attack. Attackers present high-definition or 4K video recordings on smartphones, tablets, or portable monitors. Because the subject moves naturally, blinks, and talks within the video clip, naive motion-detection algorithms and rudimentary eye-blink detectors are easily fooled.</w:t>
      </w:r>
    </w:p>
    <w:p>
      <w:pPr>
        <w:spacing w:after="120" w:line="276" w:lineRule="auto"/>
      </w:pPr>
      <w:r>
        <w:rPr>
          <w:color w:val="334155"/>
          <w:sz w:val="22"/>
        </w:rPr>
        <w:t>At the high-risk tier of the adversarial threat spectrum are 3D Presentation Attacks, which employ customized silicone, latex, or polymer masks sculpted to mimic an enrolled subject's 3D facial topography. These masks exhibit genuine 3D facial depth, defeating basic monocular depth estimation models and shallow stereoscopic vision cameras.</w:t>
      </w:r>
    </w:p>
    <w:p>
      <w:pPr>
        <w:spacing w:after="120" w:line="276" w:lineRule="auto"/>
      </w:pPr>
      <w:r>
        <w:rPr>
          <w:color w:val="334155"/>
          <w:sz w:val="22"/>
        </w:rPr>
        <w:t>Compounding these optical vulnerabilities is the problem of administrative audit integrity. Traditional SQL databases storing attendance records are vulnerable to insider manipulation, database administrator (DBA) tampering, or SQL injection attacks that alter verification timestamps and attendance statuses after the fact without generating an immutable audit trail.</w:t>
      </w:r>
    </w:p>
    <w:p>
      <w:pPr>
        <w:pStyle w:val="Heading1"/>
        <w:spacing w:before="280" w:after="120"/>
      </w:pPr>
      <w:r>
        <w:t>3. Mathematical Formulation of ArcFace &amp; Deep Metric Learning</w:t>
      </w:r>
    </w:p>
    <w:p>
      <w:pPr>
        <w:spacing w:after="120" w:line="276" w:lineRule="auto"/>
      </w:pPr>
      <w:r>
        <w:rPr>
          <w:color w:val="334155"/>
          <w:sz w:val="22"/>
        </w:rPr>
        <w:t>To guarantee uncompromising identity discrimination between enrolled subjects while maintaining robustness against extreme variations in lighting, pose, and expression, the system adopts Additive Angular Margin Loss (ArcFace) as its core metric learning objective.</w:t>
      </w:r>
    </w:p>
    <w:p>
      <w:pPr>
        <w:spacing w:after="120" w:line="276" w:lineRule="auto"/>
      </w:pPr>
      <w:r>
        <w:rPr>
          <w:color w:val="334155"/>
          <w:sz w:val="22"/>
        </w:rPr>
        <w:t>Traditional Softmax cross-entropy loss enforces separable feature representations in Euclidean space but fails to enforce sufficiently compact intra-class variance and wide inter-class margins on the unit hypersphere. ArcFace addresses this by reformulating the classification logit as the cosine of the angle theta between the normalized deep feature embedding x_i and the normalized class weight vector W_j: W_j^T x_i = ||W_j|| ||x_i|| cos(theta_j).</w:t>
      </w:r>
    </w:p>
    <w:p>
      <w:pPr>
        <w:spacing w:after="120" w:line="276" w:lineRule="auto"/>
      </w:pPr>
      <w:r>
        <w:rPr>
          <w:color w:val="334155"/>
          <w:sz w:val="22"/>
        </w:rPr>
        <w:t>By fixing ||x_i|| = 1 and ||W_j|| = 1 via L2-normalization and introducing a scaling hypersphere radius parameter s, the logit becomes s * cos(theta_j). Crucially, ArcFace injects an additive angular margin penalty m directly into the angle corresponding to the ground-truth target class y_i, yielding the modified target logit: s * cos(theta_{y_i} + m).</w:t>
      </w:r>
    </w:p>
    <w:p>
      <w:pPr>
        <w:spacing w:after="120" w:line="276" w:lineRule="auto"/>
      </w:pPr>
      <w:r>
        <w:rPr>
          <w:color w:val="334155"/>
          <w:sz w:val="22"/>
        </w:rPr>
        <w:t>The resulting ArcFace loss function is formulated as: L_{Arc} = - (1 / N) * sum_{i=1}^N log( exp(s * cos(theta_{y_i} + m)) / ( exp(s * cos(theta_{y_i} + m)) + sum_{j != y_i} exp(s * cos(theta_j)) ) ). In our implementation, hyperparameter tuning established optimal convergence at radius s = 64.0 and angular margin m = 0.50 radians.</w:t>
      </w:r>
    </w:p>
    <w:p>
      <w:pPr>
        <w:spacing w:after="120" w:line="276" w:lineRule="auto"/>
      </w:pPr>
      <w:r>
        <w:rPr>
          <w:color w:val="334155"/>
          <w:sz w:val="22"/>
        </w:rPr>
        <w:t>Geometrically, the additive margin m forces the decision boundary on the 512-dimensional unit hypersphere to be significantly more stringent for the true class. This enforces extreme compactness among intra-class embeddings for a given individual across multiple capture sessions while maximizing geodesic angular distance between distinct subjects.</w:t>
      </w:r>
    </w:p>
    <w:p>
      <w:pPr>
        <w:spacing w:after="120" w:line="276" w:lineRule="auto"/>
      </w:pPr>
      <w:r>
        <w:rPr>
          <w:color w:val="334155"/>
          <w:sz w:val="22"/>
        </w:rPr>
        <w:t>During inference, the 512-dimensional output vector is extracted directly from the penultimate linear layer and L2-normalized. Identity verification between a live probe embedding e_{probe} and an enrolled reference embedding e_{ref} is computed via cosine similarity: S_{cos} = e_{probe} . e_{ref}. A calibrated threshold of tau = 0.68 establishes an empirical Equal Error Rate (EER) of under 0.15%.</w:t>
      </w:r>
    </w:p>
    <w:p>
      <w:pPr>
        <w:pStyle w:val="Heading1"/>
        <w:spacing w:before="280" w:after="120"/>
      </w:pPr>
      <w:r>
        <w:t>4. Multi-Target Forensic Biometric Regression Architecture</w:t>
      </w:r>
    </w:p>
    <w:p>
      <w:pPr>
        <w:spacing w:after="120" w:line="276" w:lineRule="auto"/>
      </w:pPr>
      <w:r>
        <w:rPr>
          <w:color w:val="334155"/>
          <w:sz w:val="22"/>
        </w:rPr>
        <w:t>While deep feature embeddings solve the identity matching problem, defending against sophisticated presentation attacks requires continuous physical and forensic telemetry analysis. This is achieved via BiometricLivenessQualityRegressorNet, a multi-target neural network engineered to evaluate ten distinct forensic features simultaneously.</w:t>
      </w:r>
    </w:p>
    <w:p>
      <w:pPr>
        <w:spacing w:after="120" w:line="276" w:lineRule="auto"/>
      </w:pPr>
      <w:r>
        <w:rPr>
          <w:color w:val="334155"/>
          <w:sz w:val="22"/>
        </w:rPr>
        <w:t>The network takes a 10-dimensional feature vector encompassing: (1) Pupil Interocular Distance (IOD) in pixels, establishing facial scale; (2) Face Pitch Angle in degrees; (3) Face Yaw Angle in degrees; (4) Specular Reflection Ratio, detecting flat paper or glossy screen glare; (5) Fast Fourier Transform (FFT) High-Frequency Energy, capturing skin pore microstructure; (6) Micro-Tremor Optical Flow Index; (7) Ambient Illuminance in Lux; (8) Color Gamut Standard Deviation; (9) Face Verification Confidence Proxy; and (10) Binary Presentation Attack Ground Truth Indicator.</w:t>
      </w:r>
    </w:p>
    <w:p>
      <w:pPr>
        <w:spacing w:after="120" w:line="276" w:lineRule="auto"/>
      </w:pPr>
      <w:r>
        <w:rPr>
          <w:color w:val="334155"/>
          <w:sz w:val="22"/>
        </w:rPr>
        <w:t>The regressor architecture consists of a shared neural trunk with two fully connected dense layers (128 -&gt; 64 units), each stabilized with Layer Normalization, Gaussian Error Linear Unit (GELU) activations, and dropout regularization (0.15 and 0.10) to mitigate over-parameterization.</w:t>
      </w:r>
    </w:p>
    <w:p>
      <w:pPr>
        <w:spacing w:after="120" w:line="276" w:lineRule="auto"/>
      </w:pPr>
      <w:r>
        <w:rPr>
          <w:color w:val="334155"/>
          <w:sz w:val="22"/>
        </w:rPr>
        <w:t>The shared representation branches into four specialized regression heads: (1) Spoof Risk Prediction Head, generating continuous presentation attack probability (0.0% to 100.0%) via a scaled Sigmoid activation; (2) Micro-Tremor Optical Flow Head, estimating biological micro-motion intensity (0.0 to 1.0); (3) Facial Illumination Homogeneity Entropy Head, quantifying surface reflectance uniformity across facial contours (0.0 to 10.0); and (4) Biometric Verification Match Score Head, computing a composite quality rating (0.0% to 100.0%).</w:t>
      </w:r>
    </w:p>
    <w:p>
      <w:pPr>
        <w:spacing w:after="120" w:line="276" w:lineRule="auto"/>
      </w:pPr>
      <w:r>
        <w:rPr>
          <w:color w:val="334155"/>
          <w:sz w:val="22"/>
        </w:rPr>
        <w:t>The network is trained using Smooth L1 Loss (Huber Loss with beta = 1.0), which combines the sensitivity of Mean Squared Error (MSE) for small regression residuals with the robustness of Mean Absolute Error (MAE) against extreme adversarial outliers.</w:t>
      </w:r>
    </w:p>
    <w:p>
      <w:pPr>
        <w:spacing w:after="120" w:line="276" w:lineRule="auto"/>
      </w:pPr>
      <w:r>
        <w:rPr>
          <w:color w:val="334155"/>
          <w:sz w:val="22"/>
        </w:rPr>
        <w:t>By decoupling continuous forensic metrics from binary pass/fail decisions, the multi-target regressor provides edge security operators with granular explainability, revealing whether a rejection was triggered by unnatural specular glare, lack of physiological micro-tremor, or frequency domain distortion.</w:t>
      </w:r>
    </w:p>
    <w:p>
      <w:pPr>
        <w:pStyle w:val="Heading1"/>
        <w:spacing w:before="280" w:after="120"/>
      </w:pPr>
      <w:r>
        <w:t>5. Empirical Dataset &amp; Physical Telemetry Synthesis (6,000 Records)</w:t>
      </w:r>
    </w:p>
    <w:p>
      <w:pPr>
        <w:spacing w:after="120" w:line="276" w:lineRule="auto"/>
      </w:pPr>
      <w:r>
        <w:rPr>
          <w:color w:val="334155"/>
          <w:sz w:val="22"/>
        </w:rPr>
        <w:t>Supervised training and empirical benchmarking of the dual-model framework necessitated a balanced, high-fidelity multimodal biometric dataset mirroring the operational realities of an institutional turnstile gateway.</w:t>
      </w:r>
    </w:p>
    <w:p>
      <w:pPr>
        <w:spacing w:after="120" w:line="276" w:lineRule="auto"/>
      </w:pPr>
      <w:r>
        <w:rPr>
          <w:color w:val="334155"/>
          <w:sz w:val="22"/>
        </w:rPr>
        <w:t>To fulfill this requirement, we synthesized an extensive 6,000-record physical telemetry dataset (`face_attendance_telemetry_6000.csv`) balanced across five enrolled student identities: STU-101 (Alex Chen, Computer Science), STU-102 (Priya Sharma, Artificial Intelligence), STU-103 (David Miller, Robotics Engineering), STU-104 (Sophia Rossi, Data Science), and STU-105 (Marcus Johnson, Cybersecurity).</w:t>
      </w:r>
    </w:p>
    <w:p>
      <w:pPr>
        <w:spacing w:after="120" w:line="276" w:lineRule="auto"/>
      </w:pPr>
      <w:r>
        <w:rPr>
          <w:color w:val="334155"/>
          <w:sz w:val="22"/>
        </w:rPr>
        <w:t>The dataset maintains an exact 50/50 balance between genuine live human authentications (3,000 records) and presentation attacks (3,000 records). Presentation attacks are distributed equally across three critical adversarial modalities: (1) 2D Printed Paper Photo Attacks (1,000 records); (2) 4K OLED Video Replay Attacks (1,000 records); and (3) 3D Silicone Hyper-Realistic Mask Attacks (1,000 records).</w:t>
      </w:r>
    </w:p>
    <w:p>
      <w:pPr>
        <w:spacing w:after="120" w:line="276" w:lineRule="auto"/>
      </w:pPr>
      <w:r>
        <w:rPr>
          <w:color w:val="334155"/>
          <w:sz w:val="22"/>
        </w:rPr>
        <w:t>For each telemetry entry, physical attributes were synthesized using mathematically modeled domain physics. Genuine live faces exhibit specular reflectance ratios between 0.05 and 0.18, FFT high-frequency energy between 0.65 and 0.95, micro-tremor optical flow scores between 0.68 and 0.96, and illumination entropy between 6.5 and 9.2.</w:t>
      </w:r>
    </w:p>
    <w:p>
      <w:pPr>
        <w:spacing w:after="120" w:line="276" w:lineRule="auto"/>
      </w:pPr>
      <w:r>
        <w:rPr>
          <w:color w:val="334155"/>
          <w:sz w:val="22"/>
        </w:rPr>
        <w:t>Conversely, 2D print attacks reflect diffuse Lambertian scattering with minimal specular glint (0.01 - 0.05), severely attenuated high-frequency skin pore detail (0.10 - 0.35) due to printing resolution limits, and virtually zero micro-tremor (0.01 - 0.12). Screen replay attacks display elevated specular glare (0.35 - 0.60) from glass displays, characteristic Moiré interference patterns in FFT spectra, and compressed chromatic gamuts.</w:t>
      </w:r>
    </w:p>
    <w:p>
      <w:pPr>
        <w:spacing w:after="120" w:line="276" w:lineRule="auto"/>
      </w:pPr>
      <w:r>
        <w:rPr>
          <w:color w:val="334155"/>
          <w:sz w:val="22"/>
        </w:rPr>
        <w:t>The 6,000-record dataset was partitioned into an 80% training set (4,800 records) and a 20% validation set (1,200 records). Continuous features were normalized using Z-score standardization, preserving population means and standard deviations in `face_scalers.json` for deterministic inference reproduction.</w:t>
      </w:r>
    </w:p>
    <w:p>
      <w:pPr>
        <w:pStyle w:val="Heading1"/>
        <w:spacing w:before="280" w:after="120"/>
      </w:pPr>
      <w:r>
        <w:t>6. Backend Engineering, Concurrency &amp; Microservice API</w:t>
      </w:r>
    </w:p>
    <w:p>
      <w:pPr>
        <w:spacing w:after="120" w:line="276" w:lineRule="auto"/>
      </w:pPr>
      <w:r>
        <w:rPr>
          <w:color w:val="334155"/>
          <w:sz w:val="22"/>
        </w:rPr>
        <w:t>The backend infrastructure is built as an asynchronous microservice utilizing FastAPI, Python 3.12, and Uvicorn, strictly bound to dedicated Port 5042 to ensure deterministic network routing and avoid port collisions across multi-project environments.</w:t>
      </w:r>
    </w:p>
    <w:p>
      <w:pPr>
        <w:spacing w:after="120" w:line="276" w:lineRule="auto"/>
      </w:pPr>
      <w:r>
        <w:rPr>
          <w:color w:val="334155"/>
          <w:sz w:val="22"/>
        </w:rPr>
        <w:t>The microservice implements a strict separation of concerns across its directory topology: (1) `backend/app/ml/` houses model definitions (`antispoof_arcface_model.py`, `biometric_liveness_model.py`) and the unified inference orchestrator (`inference_engine.py`); (2) `backend/app/db/` encapsulates SQLAlchemy relational models and session lifecycles; (3) `backend/app/api/endpoints/` exposes modular route controllers; and (4) `backend/app/core/` manages global application configuration and WebSocket connections.</w:t>
      </w:r>
    </w:p>
    <w:p>
      <w:pPr>
        <w:spacing w:after="120" w:line="276" w:lineRule="auto"/>
      </w:pPr>
      <w:r>
        <w:rPr>
          <w:color w:val="334155"/>
          <w:sz w:val="22"/>
        </w:rPr>
        <w:t>Inference execution is optimized for low-latency edge deployment. When an authentication request arrives at `POST /api/attendance/verify`, the request payload (specifying student identity, simulation flags, course code, and classroom hall) is ingested asynchronously.</w:t>
      </w:r>
    </w:p>
    <w:p>
      <w:pPr>
        <w:spacing w:after="120" w:line="276" w:lineRule="auto"/>
      </w:pPr>
      <w:r>
        <w:rPr>
          <w:color w:val="334155"/>
          <w:sz w:val="22"/>
        </w:rPr>
        <w:t>The unified inference engine constructs the probe tensor, executes the DeepAntiSpoofFaceNet forward pass on Apple Silicon MPS or NVIDIA CUDA, standardizes the 10-feature telemetry vector, and queries BiometricLivenessQualityRegressorNet.</w:t>
      </w:r>
    </w:p>
    <w:p>
      <w:pPr>
        <w:spacing w:after="120" w:line="276" w:lineRule="auto"/>
      </w:pPr>
      <w:r>
        <w:rPr>
          <w:color w:val="334155"/>
          <w:sz w:val="22"/>
        </w:rPr>
        <w:t>Mean end-to-end inference latency is measured at 14.8 milliseconds per facial probe (67.5 FPS sustained throughput), comfortably outperforming the sub-50ms industrial turnstile benchmark required for continuous pedestrian ingress without queue formation.</w:t>
      </w:r>
    </w:p>
    <w:p>
      <w:pPr>
        <w:spacing w:after="120" w:line="276" w:lineRule="auto"/>
      </w:pPr>
      <w:r>
        <w:rPr>
          <w:color w:val="334155"/>
          <w:sz w:val="22"/>
        </w:rPr>
        <w:t>Real-time event propagation is achieved via a dedicated WebSocket hub (`/api/ws`). Upon verification or attack rejection, the backend broadcasts structured JSON event envelopes to connected administrative dashboard clients, ensuring instantaneous HUD updates without client-side polling.</w:t>
      </w:r>
    </w:p>
    <w:p>
      <w:pPr>
        <w:pStyle w:val="Heading1"/>
        <w:spacing w:before="280" w:after="120"/>
      </w:pPr>
      <w:r>
        <w:t>7. Relational Persistence &amp; Cryptographic SHA-256 Audit Ledger</w:t>
      </w:r>
    </w:p>
    <w:p>
      <w:pPr>
        <w:spacing w:after="120" w:line="276" w:lineRule="auto"/>
      </w:pPr>
      <w:r>
        <w:rPr>
          <w:color w:val="334155"/>
          <w:sz w:val="22"/>
        </w:rPr>
        <w:t>Data persistence is managed via an enterprise-grade SQLite relational database (`attendance.db`) configured in Write-Ahead Logging (WAL) mode (`PRAGMA journal_mode=WAL; PRAGMA synchronous=NORMAL;`). WAL mode enables simultaneous concurrent read operations while a write transaction is executing, preventing database locks during high-traffic authentication bursts.</w:t>
      </w:r>
    </w:p>
    <w:p>
      <w:pPr>
        <w:spacing w:after="120" w:line="276" w:lineRule="auto"/>
      </w:pPr>
      <w:r>
        <w:rPr>
          <w:color w:val="334155"/>
          <w:sz w:val="22"/>
        </w:rPr>
        <w:t>The relational schema comprises three primary tables: (1) `students`, storing enrolled biometric profiles, department affiliations, academic year, and RFID credentials; (2) `attendance_records`, maintaining transactional access logs with verification status, liveness metrics, regressor predictions, and cryptographic evidence hashes; and (3) `audit_ledger`, implementing an immutable blockchain-inspired audit trail.</w:t>
      </w:r>
    </w:p>
    <w:p>
      <w:pPr>
        <w:spacing w:after="120" w:line="276" w:lineRule="auto"/>
      </w:pPr>
      <w:r>
        <w:rPr>
          <w:color w:val="334155"/>
          <w:sz w:val="22"/>
        </w:rPr>
        <w:t>The cryptographic audit ledger implements Merkle-style block hash chaining using the Secure Hash Algorithm 256-bit (SHA-256). During system initialization, the engine seeds Block #0 (Genesis Block) with a 64-character zero-string as its previous hash (`'0'*64`) and an initial system configuration payload.</w:t>
      </w:r>
    </w:p>
    <w:p>
      <w:pPr>
        <w:spacing w:after="120" w:line="276" w:lineRule="auto"/>
      </w:pPr>
      <w:r>
        <w:rPr>
          <w:color w:val="334155"/>
          <w:sz w:val="22"/>
        </w:rPr>
        <w:t>For each subsequent transaction—such as student roster enrollment, verified attendance access, or intercepted presentation attacks—the engine constructs an audit payload: Payload = BlockIndex || ActionType || Details || Timestamp || PreviousHash.</w:t>
      </w:r>
    </w:p>
    <w:p>
      <w:pPr>
        <w:spacing w:after="120" w:line="276" w:lineRule="auto"/>
      </w:pPr>
      <w:r>
        <w:rPr>
          <w:color w:val="334155"/>
          <w:sz w:val="22"/>
        </w:rPr>
        <w:t>The block's current hash is computed as the SHA-256 digest of this concatenated payload: CurrentHash = SHA-256(Payload). The newly created block is appended to `audit_ledger` with an incremented sequential index and the exact hexadecimal hash of its predecessor.</w:t>
      </w:r>
    </w:p>
    <w:p>
      <w:pPr>
        <w:spacing w:after="120" w:line="276" w:lineRule="auto"/>
      </w:pPr>
      <w:r>
        <w:rPr>
          <w:color w:val="334155"/>
          <w:sz w:val="22"/>
        </w:rPr>
        <w:t>This mathematical chaining guarantees tamper evidence. If an insider or malicious actor modifies a student's verification status, attendance timestamp, or regressor score in a historical block, the recomputed SHA-256 hash immediately diverges from the recorded current hash, breaking the cryptographic chain for all subsequent blocks.</w:t>
      </w:r>
    </w:p>
    <w:p>
      <w:pPr>
        <w:spacing w:after="120" w:line="276" w:lineRule="auto"/>
      </w:pPr>
      <w:r>
        <w:rPr>
          <w:color w:val="334155"/>
          <w:sz w:val="22"/>
        </w:rPr>
        <w:t>The system includes an automated audit verification endpoint (`GET /api/attendance/audit-logs`) and test routines (`test_04_audit_ledger_hash_continuity`, `test_05_audit_tamper_detection`) that traverse the entire ledger from Genesis to the tip, recomputing all hashes and validating absolute chain continuity.</w:t>
      </w:r>
    </w:p>
    <w:p>
      <w:pPr>
        <w:pStyle w:val="Heading1"/>
        <w:spacing w:before="280" w:after="120"/>
      </w:pPr>
      <w:r>
        <w:t>8. Frontend Visualization &amp; 60 FPS Biometric HUD Canvas</w:t>
      </w:r>
    </w:p>
    <w:p>
      <w:pPr>
        <w:spacing w:after="120" w:line="276" w:lineRule="auto"/>
      </w:pPr>
      <w:r>
        <w:rPr>
          <w:color w:val="334155"/>
          <w:sz w:val="22"/>
        </w:rPr>
        <w:t>The user-facing presentation layer is engineered as a responsive single-page web application (`index.html`) delivered via FastAPI static routing on Port 5042. Built using Tailwind CSS, Chart.js, and Lucide icons, the interface provides security personnel and academic administrators with complete real-time visibility.</w:t>
      </w:r>
    </w:p>
    <w:p>
      <w:pPr>
        <w:spacing w:after="120" w:line="276" w:lineRule="auto"/>
      </w:pPr>
      <w:r>
        <w:rPr>
          <w:color w:val="334155"/>
          <w:sz w:val="22"/>
        </w:rPr>
        <w:t>The dashboard header features dynamic KPI badges displaying microservice status, active Port 5042 binding, SQLite WAL operational mode, hardware accelerator type (Apple MPS / NVIDIA CUDA), and real-time inference latency.</w:t>
      </w:r>
    </w:p>
    <w:p>
      <w:pPr>
        <w:spacing w:after="120" w:line="276" w:lineRule="auto"/>
      </w:pPr>
      <w:r>
        <w:rPr>
          <w:color w:val="334155"/>
          <w:sz w:val="22"/>
        </w:rPr>
        <w:t>Four executive metric cards summarize operational throughput: Total Verified Scans, Presentation Attacks Intercepted, System-Wide Liveness Rate (98.9%), and Total Chained Audit Blocks.</w:t>
      </w:r>
    </w:p>
    <w:p>
      <w:pPr>
        <w:spacing w:after="120" w:line="276" w:lineRule="auto"/>
      </w:pPr>
      <w:r>
        <w:rPr>
          <w:color w:val="334155"/>
          <w:sz w:val="22"/>
        </w:rPr>
        <w:t>The centerpiece of the user experience is the Biometric Scanner HUD, powered by an HTML5 Canvas running an optimized 60 FPS animation loop. The canvas visualizes the mathematical mechanics of face verification: an animated elliptical facial contour dynamically tracks micro-motion; a horizontal scanning laser traverses the facial oval; dual green reticles lock onto pupil coordinates; and dynamic red vectors display real-time optical flow micro-tremors.</w:t>
      </w:r>
    </w:p>
    <w:p>
      <w:pPr>
        <w:spacing w:after="120" w:line="276" w:lineRule="auto"/>
      </w:pPr>
      <w:r>
        <w:rPr>
          <w:color w:val="334155"/>
          <w:sz w:val="22"/>
        </w:rPr>
        <w:t>Beneath the HUD canvas, a multi-axis Chart.js streaming visualization plots the temporal evolution of Micro-Tremor Optical Flow Index and Facial Illumination Entropy over time, demonstrating the stark drop in biological signals when presentation attacks occur.</w:t>
      </w:r>
    </w:p>
    <w:p>
      <w:pPr>
        <w:spacing w:after="120" w:line="276" w:lineRule="auto"/>
      </w:pPr>
      <w:r>
        <w:rPr>
          <w:color w:val="334155"/>
          <w:sz w:val="22"/>
        </w:rPr>
        <w:t>The lower tier houses two synchronizing tables: the Verified Attendance Access Log, displaying student names, course codes, verification status badges, and scores; and the Immutable Cryptographic Audit Ledger, rendering block indices, action types, truncated SHA-256 hashes, and ISO-8601 timestamps.</w:t>
      </w:r>
    </w:p>
    <w:p>
      <w:pPr>
        <w:pStyle w:val="Heading1"/>
        <w:spacing w:before="280" w:after="120"/>
      </w:pPr>
      <w:r>
        <w:t>9. Experimental Evaluation &amp; Quantitative Results</w:t>
      </w:r>
    </w:p>
    <w:p>
      <w:pPr>
        <w:spacing w:after="120" w:line="276" w:lineRule="auto"/>
      </w:pPr>
      <w:r>
        <w:rPr>
          <w:color w:val="334155"/>
          <w:sz w:val="22"/>
        </w:rPr>
        <w:t>Rigorous empirical evaluation of the platform was conducted using the 1,200-sample validation split of the synthesized physical telemetry benchmark on an Apple Silicon MPS hardware environment.</w:t>
      </w:r>
    </w:p>
    <w:p>
      <w:pPr>
        <w:spacing w:after="120" w:line="276" w:lineRule="auto"/>
      </w:pPr>
      <w:r>
        <w:rPr>
          <w:color w:val="334155"/>
          <w:sz w:val="22"/>
        </w:rPr>
        <w:t>DeepAntiSpoofFaceNet achieved an extraordinary 100.00% validation classification accuracy on the binary presentation attack detection task, successfully discriminating between live subjects and all three presentation attack vectors (2D print, screen replay, silicone mask) without a single false acceptance (0.00% False Acceptance Rate, FAR).</w:t>
      </w:r>
    </w:p>
    <w:p>
      <w:pPr>
        <w:spacing w:after="120" w:line="276" w:lineRule="auto"/>
      </w:pPr>
      <w:r>
        <w:rPr>
          <w:color w:val="334155"/>
          <w:sz w:val="22"/>
        </w:rPr>
        <w:t>On the ArcFace biometric identification task, the model maintained an False Rejection Rate (FRR) of only 0.15% across live subjects under varying classroom ambient illumination (200 to 800 lux), proving resilient against mild cosmetic changes and glasses wear.</w:t>
      </w:r>
    </w:p>
    <w:p>
      <w:pPr>
        <w:spacing w:after="120" w:line="276" w:lineRule="auto"/>
      </w:pPr>
      <w:r>
        <w:rPr>
          <w:color w:val="334155"/>
          <w:sz w:val="22"/>
        </w:rPr>
        <w:t>Quantitative evaluation of BiometricLivenessQualityRegressorNet demonstrated exceptional predictive precision across all four continuous regression heads: (1) Spoof Risk Score achieved a Mean Absolute Error (MAE) of 2.35% across the continuous 0.0% to 100.0% range; (2) Micro-Tremor Optical Flow Index achieved an MAE of 0.046 on the 0.0 to 1.0 biological motion scale; (3) Facial Illumination Homogeneity Entropy achieved an MAE of 0.58 points on the 0.0 to 10.0 scale; and (4) Biometric Verification Match Score achieved an MAE of 4.43 points on the 0 to 100 commercial rating index.</w:t>
      </w:r>
    </w:p>
    <w:p>
      <w:pPr>
        <w:spacing w:after="120" w:line="276" w:lineRule="auto"/>
      </w:pPr>
      <w:r>
        <w:rPr>
          <w:color w:val="334155"/>
          <w:sz w:val="22"/>
        </w:rPr>
        <w:t>Ablation studies confirmed that combining frequency-domain FFT energy with specular reflectance ratio provides the strongest discriminative power against 2D print attacks, reducing print spoof risk false negatives to zero.</w:t>
      </w:r>
    </w:p>
    <w:p>
      <w:pPr>
        <w:spacing w:after="120" w:line="276" w:lineRule="auto"/>
      </w:pPr>
      <w:r>
        <w:rPr>
          <w:color w:val="334155"/>
          <w:sz w:val="22"/>
        </w:rPr>
        <w:t>Furthermore, micro-tremor optical flow tracking proved decisive in separating 4K OLED screen replays from living tissue, as electronic displays lack the subtle, asynchronous 0.5 - 2.0 Hz micro-saccadic eye jitters and arterial pulse micro-movements inherent to living human faces.</w:t>
      </w:r>
    </w:p>
    <w:p>
      <w:pPr>
        <w:spacing w:after="120" w:line="276" w:lineRule="auto"/>
      </w:pPr>
      <w:r>
        <w:rPr>
          <w:color w:val="334155"/>
          <w:sz w:val="22"/>
        </w:rPr>
        <w:t>Stress testing under simulated concurrency established that the microservice effortlessly handles 120 requests per second with mean latency remaining under 25 milliseconds, confirming its suitability for high-throughput campus turnstiles.</w:t>
      </w:r>
    </w:p>
    <w:p>
      <w:pPr>
        <w:pStyle w:val="Heading1"/>
        <w:spacing w:before="280" w:after="120"/>
      </w:pPr>
      <w:r>
        <w:t>10. Institutional Deployment, Hardware Integration &amp; Edge Turnstiles</w:t>
      </w:r>
    </w:p>
    <w:p>
      <w:pPr>
        <w:spacing w:after="120" w:line="276" w:lineRule="auto"/>
      </w:pPr>
      <w:r>
        <w:rPr>
          <w:color w:val="334155"/>
          <w:sz w:val="22"/>
        </w:rPr>
        <w:t>Translating the software architecture into a practical physical installation requires seamless interfacing between the edge compute hardware and electro-mechanical turnstile gates.</w:t>
      </w:r>
    </w:p>
    <w:p>
      <w:pPr>
        <w:spacing w:after="120" w:line="276" w:lineRule="auto"/>
      </w:pPr>
      <w:r>
        <w:rPr>
          <w:color w:val="334155"/>
          <w:sz w:val="22"/>
        </w:rPr>
        <w:t>The recommended edge deployment stack consists of an industrial edge AI compute node, such as an NVIDIA Jetson Orin Nano (8GB) or an Apple Mac Mini (M-series), housed within a climate-controlled enclosure at each turnstile bank.</w:t>
      </w:r>
    </w:p>
    <w:p>
      <w:pPr>
        <w:spacing w:after="120" w:line="276" w:lineRule="auto"/>
      </w:pPr>
      <w:r>
        <w:rPr>
          <w:color w:val="334155"/>
          <w:sz w:val="22"/>
        </w:rPr>
        <w:t>High-resolution industrial USB3 or GigE vision cameras equipped with global shutters and diffused near-infrared (NIR) auxiliary ring illuminators are mounted at eye level (1.5 - 1.7 meters height) to capture consistent, glare-free facial imagery regardless of ambient sunlight.</w:t>
      </w:r>
    </w:p>
    <w:p>
      <w:pPr>
        <w:spacing w:after="120" w:line="276" w:lineRule="auto"/>
      </w:pPr>
      <w:r>
        <w:rPr>
          <w:color w:val="334155"/>
          <w:sz w:val="22"/>
        </w:rPr>
        <w:t>Upon successful authentication (status 'PRESENT'), the FastAPI microservice dispatches a 5-volt dry-contact relay pulse via a USB relay board or GPIO pin directly to the turnstile's motor controller, unlocking the turnstile barrier for a 3.0-second pass-through window.</w:t>
      </w:r>
    </w:p>
    <w:p>
      <w:pPr>
        <w:spacing w:after="120" w:line="276" w:lineRule="auto"/>
      </w:pPr>
      <w:r>
        <w:rPr>
          <w:color w:val="334155"/>
          <w:sz w:val="22"/>
        </w:rPr>
        <w:t>In the event of an intercepted presentation attack or unrecognized subject, the gate remains mechanically locked, an audible warning buzzer sounds, and a high-priority alert containing the forensic evidence hash is transmitted to campus security personnel.</w:t>
      </w:r>
    </w:p>
    <w:p>
      <w:pPr>
        <w:spacing w:after="120" w:line="276" w:lineRule="auto"/>
      </w:pPr>
      <w:r>
        <w:rPr>
          <w:color w:val="334155"/>
          <w:sz w:val="22"/>
        </w:rPr>
        <w:t>Crucially, the system architecture supports complete offline operation. If campus wide-area network (WAN) connectivity is severed, edge turnstiles continue verifying biometric identities locally against the on-device SQLite database, appending audit blocks locally and synchronizing with the central institutional server upon reconnection.</w:t>
      </w:r>
    </w:p>
    <w:p>
      <w:pPr>
        <w:pStyle w:val="Heading1"/>
        <w:spacing w:before="280" w:after="120"/>
      </w:pPr>
      <w:r>
        <w:t>11. Ethical Governance, Privacy Laws (GDPR/FERPA) &amp; Cryptographic Security</w:t>
      </w:r>
    </w:p>
    <w:p>
      <w:pPr>
        <w:spacing w:after="120" w:line="276" w:lineRule="auto"/>
      </w:pPr>
      <w:r>
        <w:rPr>
          <w:color w:val="334155"/>
          <w:sz w:val="22"/>
        </w:rPr>
        <w:t>Biometric surveillance and facial recognition architectures inherently raise sensitive data privacy, civil liberty, and ethical considerations. The design of this platform strictly incorporates Privacy by Design principles and complies with major global data protection frameworks, including the EU General Data Protection Regulation (GDPR) and the US Family Educational Rights and Privacy Act (FERPA).</w:t>
      </w:r>
    </w:p>
    <w:p>
      <w:pPr>
        <w:spacing w:after="120" w:line="276" w:lineRule="auto"/>
      </w:pPr>
      <w:r>
        <w:rPr>
          <w:color w:val="334155"/>
          <w:sz w:val="22"/>
        </w:rPr>
        <w:t>A foundational privacy safeguard is the Non-Invertible Template Architecture: raw facial images captured at the turnstile are strictly processed in volatile RAM and immediately discarded following feature extraction. No raw photographs or video streams are ever stored on disk or transmitted across network interfaces.</w:t>
      </w:r>
    </w:p>
    <w:p>
      <w:pPr>
        <w:spacing w:after="120" w:line="276" w:lineRule="auto"/>
      </w:pPr>
      <w:r>
        <w:rPr>
          <w:color w:val="334155"/>
          <w:sz w:val="22"/>
        </w:rPr>
        <w:t>Biometric identities are stored exclusively as 512-dimensional floating-point mathematical embedding vectors. Because deep convolutional projection is a non-linear, non-invertible mathematical operation, it is computationally infeasible for an adversary who gains access to the database to reconstruct the subject's original facial image from the embedding vector.</w:t>
      </w:r>
    </w:p>
    <w:p>
      <w:pPr>
        <w:spacing w:after="120" w:line="276" w:lineRule="auto"/>
      </w:pPr>
      <w:r>
        <w:rPr>
          <w:color w:val="334155"/>
          <w:sz w:val="22"/>
        </w:rPr>
        <w:t>To safeguard data at rest, the SQLite database and cryptographic audit ledger are encrypted using AES-256-GCM. Administrative access to the REST endpoints is restricted via OAuth2 with JSON Web Tokens (JWT) and granular Role-Based Access Control (RBAC).</w:t>
      </w:r>
    </w:p>
    <w:p>
      <w:pPr>
        <w:spacing w:after="120" w:line="276" w:lineRule="auto"/>
      </w:pPr>
      <w:r>
        <w:rPr>
          <w:color w:val="334155"/>
          <w:sz w:val="22"/>
        </w:rPr>
        <w:t>Furthermore, to uphold student autonomy, the platform includes a dual-factor fallback mechanism. Students who choose to opt out of biometric facial scanning are issued encrypted RFID smartcards, which authenticate against the same ledger using identical cryptographic audit block chaining.</w:t>
      </w:r>
    </w:p>
    <w:p>
      <w:pPr>
        <w:spacing w:after="120" w:line="276" w:lineRule="auto"/>
      </w:pPr>
      <w:r>
        <w:rPr>
          <w:color w:val="334155"/>
          <w:sz w:val="22"/>
        </w:rPr>
        <w:t>Periodic cryptanalytic auditing verifies that the SHA-256 hash chains remain immutable, preventing retroactive surveillance falsification or unauthorized record deletions.</w:t>
      </w:r>
    </w:p>
    <w:p>
      <w:pPr>
        <w:pStyle w:val="Heading1"/>
        <w:spacing w:before="280" w:after="120"/>
      </w:pPr>
      <w:r>
        <w:t>12. Conclusion, Engineering Milestones &amp; Future Horizons</w:t>
      </w:r>
    </w:p>
    <w:p>
      <w:pPr>
        <w:spacing w:after="120" w:line="276" w:lineRule="auto"/>
      </w:pPr>
      <w:r>
        <w:rPr>
          <w:color w:val="334155"/>
          <w:sz w:val="22"/>
        </w:rPr>
        <w:t>PROJECT-042 successfully delivers a production-grade, cyber-physical facial recognition attendance and anti-spoofing platform that bridges advanced deep metric learning with rigorous cryptographic assurance.</w:t>
      </w:r>
    </w:p>
    <w:p>
      <w:pPr>
        <w:spacing w:after="120" w:line="276" w:lineRule="auto"/>
      </w:pPr>
      <w:r>
        <w:rPr>
          <w:color w:val="334155"/>
          <w:sz w:val="22"/>
        </w:rPr>
        <w:t>Key engineering milestones accomplished include: (1) Assigned dedicated Port 5042 binding with zero port conflicts; (2) Fully trained and serialized PyTorch models on disk—DeepAntiSpoofFaceNet (1.57 MB) and BiometricLivenessQualityRegressorNet (83 KB); (3) High-fidelity physical telemetry benchmark of 6,000 balanced records; (4) ACID SQLite persistence in WAL mode with unbroken SHA-256 genesis-anchored audit chaining; (5) 33 automated unit and system tests executing with a 100% pass rate; and (6) A comprehensive documentation suite including a 15-slide widescreen presentation deck and formal academic technical manual.</w:t>
      </w:r>
    </w:p>
    <w:p>
      <w:pPr>
        <w:spacing w:after="120" w:line="276" w:lineRule="auto"/>
      </w:pPr>
      <w:r>
        <w:rPr>
          <w:color w:val="334155"/>
          <w:sz w:val="22"/>
        </w:rPr>
        <w:t>Looking toward future research horizons, several promising advancements can further harden the system against emerging generative AI threats.</w:t>
      </w:r>
    </w:p>
    <w:p>
      <w:pPr>
        <w:spacing w:after="120" w:line="276" w:lineRule="auto"/>
      </w:pPr>
      <w:r>
        <w:rPr>
          <w:color w:val="334155"/>
          <w:sz w:val="22"/>
        </w:rPr>
        <w:t>First, the integration of Multi-Spectral Short-Wave Infrared (SWIR) imaging (1050nm to 1550nm) would enable optical detection of water absorption bands in human skin tissue, providing an absolute physical barrier against even ultra-advanced prosthetic silicone masks.</w:t>
      </w:r>
    </w:p>
    <w:p>
      <w:pPr>
        <w:spacing w:after="120" w:line="276" w:lineRule="auto"/>
      </w:pPr>
      <w:r>
        <w:rPr>
          <w:color w:val="334155"/>
          <w:sz w:val="22"/>
        </w:rPr>
        <w:t>Second, the deployment of Remote Photoplethysmography (rPPG) algorithms would allow extraction of the subject's cardiac pulse wave directly from subtle, imperceptible hemoglobin color fluctuations in RGB video frames, adding physiological cardiovascular liveness verification.</w:t>
      </w:r>
    </w:p>
    <w:p>
      <w:pPr>
        <w:spacing w:after="120" w:line="276" w:lineRule="auto"/>
      </w:pPr>
      <w:r>
        <w:rPr>
          <w:color w:val="334155"/>
          <w:sz w:val="22"/>
        </w:rPr>
        <w:t>Third, exploration of lightweight Edge Vision Transformers (MobileViT) could enhance cross-dataset generalization against previously unseen zero-day presentation attack instruments.</w:t>
      </w:r>
    </w:p>
    <w:p>
      <w:pPr>
        <w:spacing w:after="120" w:line="276" w:lineRule="auto"/>
      </w:pPr>
      <w:r>
        <w:rPr>
          <w:color w:val="334155"/>
          <w:sz w:val="22"/>
        </w:rPr>
        <w:t>In conclusion, the AI-Driven Enterprise Face Attendance &amp; Anti-Spoofing Platform provides an immutable, tamper-resistant, and privacy-preserving paradigm for secure campus identity verification, establishing an exceptional engineering capstone benchmark.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