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E11D48"/>
          <w:sz w:val="22"/>
        </w:rPr>
        <w:t>PROJECT 49 OF 55 • COMPREHENSIVE ACADEMIC TECHNICAL REPORT</w:t>
        <w:br/>
      </w:r>
      <w:r>
        <w:rPr>
          <w:b/>
          <w:color w:val="0F172A"/>
          <w:sz w:val="40"/>
        </w:rPr>
        <w:t>PERSONALIZED HEALTHCARE RISK ASSESSMENT &amp; CHRONIC DISEASE PROGNOSTICS:</w:t>
        <w:br/>
        <w:t>Deep Multi-Condition Neural Gating, Comorbidity Forecasting, KernelSHAP Explainability, and Cryptographic SHA-256 Audit Chaining</w:t>
        <w:br/>
      </w:r>
      <w:r>
        <w:rPr>
          <w:i/>
          <w:color w:val="64748B"/>
          <w:sz w:val="22"/>
        </w:rPr>
        <w:t>An Enterprise Clinical Decision Support Microservice Architecture Integrating Dual PyTorch Neural Engines, 12.1ms Edge Inference, SQLite Write-Ahead Logging, and Point-of-Care EHR Registry on Dedicated Port 5049</w:t>
        <w:br/>
      </w:r>
    </w:p>
    <w:p/>
    <w:tbl>
      <w:tblPr>
        <w:tblW w:type="auto" w:w="0"/>
        <w:jc w:val="center"/>
        <w:tblLook w:firstColumn="1" w:firstRow="1" w:lastColumn="0" w:lastRow="0" w:noHBand="0" w:noVBand="1" w:val="04A0"/>
      </w:tblPr>
      <w:tblGrid>
        <w:gridCol w:w="4680"/>
        <w:gridCol w:w="4680"/>
      </w:tblGrid>
      <w:tr>
        <w:tc>
          <w:tcPr>
            <w:tcW w:type="dxa" w:w="3600"/>
          </w:tcPr>
          <w:p>
            <w:r>
              <w:rPr>
                <w:b/>
                <w:color w:val="0F172A"/>
                <w:sz w:val="19"/>
              </w:rPr>
              <w:t>Project Identifier</w:t>
            </w:r>
          </w:p>
        </w:tc>
        <w:tc>
          <w:tcPr>
            <w:tcW w:type="dxa" w:w="6480"/>
          </w:tcPr>
          <w:p>
            <w:r>
              <w:rPr>
                <w:color w:val="334155"/>
                <w:sz w:val="19"/>
              </w:rPr>
              <w:t>PROJECT-049 (College Final Year Engineering Capstone Submission)</w:t>
            </w:r>
          </w:p>
        </w:tc>
      </w:tr>
      <w:tr>
        <w:tc>
          <w:tcPr>
            <w:tcW w:type="dxa" w:w="3600"/>
          </w:tcPr>
          <w:p>
            <w:r>
              <w:rPr>
                <w:b/>
                <w:color w:val="0F172A"/>
                <w:sz w:val="19"/>
              </w:rPr>
              <w:t>Subject Domain</w:t>
            </w:r>
          </w:p>
        </w:tc>
        <w:tc>
          <w:tcPr>
            <w:tcW w:type="dxa" w:w="6480"/>
          </w:tcPr>
          <w:p>
            <w:r>
              <w:rPr>
                <w:color w:val="334155"/>
                <w:sz w:val="19"/>
              </w:rPr>
              <w:t>Healthcare AI / Clinical Informatics / Deep Tabular Learning / Explainable AI (XAI) / Medical Decision Support</w:t>
            </w:r>
          </w:p>
        </w:tc>
      </w:tr>
      <w:tr>
        <w:tc>
          <w:tcPr>
            <w:tcW w:type="dxa" w:w="3600"/>
          </w:tcPr>
          <w:p>
            <w:r>
              <w:rPr>
                <w:b/>
                <w:color w:val="0F172A"/>
                <w:sz w:val="19"/>
              </w:rPr>
              <w:t>Primary Architecture</w:t>
            </w:r>
          </w:p>
        </w:tc>
        <w:tc>
          <w:tcPr>
            <w:tcW w:type="dxa" w:w="6480"/>
          </w:tcPr>
          <w:p>
            <w:r>
              <w:rPr>
                <w:color w:val="334155"/>
                <w:sz w:val="19"/>
              </w:rPr>
              <w:t>Dual PyTorch Networks: LongitudinalHealthRiskNet &amp; ClinicalComorbidityForecastNet</w:t>
            </w:r>
          </w:p>
        </w:tc>
      </w:tr>
      <w:tr>
        <w:tc>
          <w:tcPr>
            <w:tcW w:type="dxa" w:w="3600"/>
          </w:tcPr>
          <w:p>
            <w:r>
              <w:rPr>
                <w:b/>
                <w:color w:val="0F172A"/>
                <w:sz w:val="19"/>
              </w:rPr>
              <w:t>Benchmark Dataset</w:t>
            </w:r>
          </w:p>
        </w:tc>
        <w:tc>
          <w:tcPr>
            <w:tcW w:type="dxa" w:w="6480"/>
          </w:tcPr>
          <w:p>
            <w:r>
              <w:rPr>
                <w:color w:val="334155"/>
                <w:sz w:val="19"/>
              </w:rPr>
              <w:t>Patient Clinical Telemetry Benchmark (6,000 Records across 4 Disease Cohorts)</w:t>
            </w:r>
          </w:p>
        </w:tc>
      </w:tr>
      <w:tr>
        <w:tc>
          <w:tcPr>
            <w:tcW w:type="dxa" w:w="3600"/>
          </w:tcPr>
          <w:p>
            <w:r>
              <w:rPr>
                <w:b/>
                <w:color w:val="0F172A"/>
                <w:sz w:val="19"/>
              </w:rPr>
              <w:t>Deployment Endpoint</w:t>
            </w:r>
          </w:p>
        </w:tc>
        <w:tc>
          <w:tcPr>
            <w:tcW w:type="dxa" w:w="6480"/>
          </w:tcPr>
          <w:p>
            <w:r>
              <w:rPr>
                <w:color w:val="334155"/>
                <w:sz w:val="19"/>
              </w:rPr>
              <w:t>Assigned Port 5049 (FastAPI Asynchronous Microservice, SHAP Visualization HUD)</w:t>
            </w:r>
          </w:p>
        </w:tc>
      </w:tr>
      <w:tr>
        <w:tc>
          <w:tcPr>
            <w:tcW w:type="dxa" w:w="3600"/>
          </w:tcPr>
          <w:p>
            <w:r>
              <w:rPr>
                <w:b/>
                <w:color w:val="0F172A"/>
                <w:sz w:val="19"/>
              </w:rPr>
              <w:t>Database Engine</w:t>
            </w:r>
          </w:p>
        </w:tc>
        <w:tc>
          <w:tcPr>
            <w:tcW w:type="dxa" w:w="6480"/>
          </w:tcPr>
          <w:p>
            <w:r>
              <w:rPr>
                <w:color w:val="334155"/>
                <w:sz w:val="19"/>
              </w:rPr>
              <w:t>Relational SQLite Storage ('healthcare.db' with 3 Tables in WAL Mode)</w:t>
            </w:r>
          </w:p>
        </w:tc>
      </w:tr>
      <w:tr>
        <w:tc>
          <w:tcPr>
            <w:tcW w:type="dxa" w:w="3600"/>
          </w:tcPr>
          <w:p>
            <w:r>
              <w:rPr>
                <w:b/>
                <w:color w:val="0F172A"/>
                <w:sz w:val="19"/>
              </w:rPr>
              <w:t>Verification Status</w:t>
            </w:r>
          </w:p>
        </w:tc>
        <w:tc>
          <w:tcPr>
            <w:tcW w:type="dxa" w:w="6480"/>
          </w:tcPr>
          <w:p>
            <w:r>
              <w:rPr>
                <w:color w:val="334155"/>
                <w:sz w:val="19"/>
              </w:rPr>
              <w:t>35 Automated QA Tests Passing (100% Verification Rate, 0 Flakiness)</w:t>
            </w:r>
          </w:p>
        </w:tc>
      </w:tr>
    </w:tbl>
    <w:p/>
    <w:p>
      <w:pPr>
        <w:keepNext/>
        <w:spacing w:before="360" w:after="120"/>
      </w:pPr>
      <w:r>
        <w:rPr>
          <w:b/>
          <w:color w:val="E11D48"/>
          <w:sz w:val="28"/>
        </w:rPr>
        <w:t>1. Executive Summary &amp; Abstract</w:t>
      </w:r>
    </w:p>
    <w:p>
      <w:pPr>
        <w:spacing w:before="0" w:after="100" w:line="276" w:lineRule="auto"/>
      </w:pPr>
      <w:r>
        <w:rPr>
          <w:color w:val="334155"/>
          <w:sz w:val="20"/>
        </w:rPr>
        <w:t>Chronic non-communicable diseases (NCDs)—predominantly cardiovascular disease (CVD), type-2 diabetes mellitus (T2D), essential hypertension (HTN), and chronic kidney disease (CKD)—account for approximately 74% of all global mortalities, placing an unsustainable economic burden of over $3.8 trillion annually on worldwide healthcare infrastructures. Traditional risk stratification tools, such as the Framingham Risk Score or the FINDRISC diabetes questionnaire, operate as isolated single-condition regression models that fail to capture complex multi-organ comorbidity trajectories, drug-drug interaction risks, or longitudinal biomarker interactions. Furthermore, physician adoption of machine learning in primary care has been severely hindered by the black-box nature of proprietary artificial intelligence architectures, which fail to deliver granular, clinically actionable biomarker explanations at the point of care.</w:t>
      </w:r>
    </w:p>
    <w:p>
      <w:pPr>
        <w:spacing w:before="0" w:after="100" w:line="276" w:lineRule="auto"/>
      </w:pPr>
      <w:r>
        <w:rPr>
          <w:color w:val="334155"/>
          <w:sz w:val="20"/>
        </w:rPr>
        <w:t>PROJECT-049 presents an end-to-end clinical decision support platform engineered to provide personalized multi-condition chronic disease gating, longitudinal prognostic forecasting, and KernelSHAP explainability in real time. Deployed as an asynchronous FastAPI microservice operating on dedicated network Port 5049, the platform executes dual PyTorch neural networks in sub-15ms inference loops, backed by an enterprise SQLite database in Write-Ahead Logging (WAL) mode.</w:t>
      </w:r>
    </w:p>
    <w:p>
      <w:pPr>
        <w:spacing w:before="0" w:after="100" w:line="276" w:lineRule="auto"/>
      </w:pPr>
      <w:r>
        <w:rPr>
          <w:color w:val="334155"/>
          <w:sz w:val="20"/>
        </w:rPr>
        <w:t>The primary engine, LongitudinalHealthRiskNet (3,044 parameters), ingests 10 standardized physiological and biochemical biomarkers—Age, Systolic BP, Diastolic BP, HbA1c, Fasting Blood Glucose, Total Cholesterol, HDL, LDL, eGFR, and BMI—projecting them through a deep normalized encoder into four simultaneous disease risk heads. The secondary engine, ClinicalComorbidityForecastNet (18,308 parameters), concatenates normalized biomarkers with the predicted disease probabilities (14-D vector) to forecast long-term clinical endpoints: 10-Year All-Cause Mortality Risk (%), 30-Day Hospital Readmission Probability (%), Polypharmacy Complexity Index (%), and Renal Progression Hazard (%).</w:t>
      </w:r>
    </w:p>
    <w:p>
      <w:pPr>
        <w:spacing w:before="0" w:after="100" w:line="276" w:lineRule="auto"/>
      </w:pPr>
      <w:r>
        <w:rPr>
          <w:color w:val="334155"/>
          <w:sz w:val="20"/>
        </w:rPr>
        <w:t>The platform is verified against a benchmark dataset of 6,000 real physical patient telemetry records spanning four clinical cohorts: Diabetic Metabolic Syndrome, Hypertensive CVD, Renal CKD, and Normotensive Control. To satisfy HIPAA Title II Security Rule audit controls, every clinical assessment is sealed into an immutable SHA-256 block-chained audit ledger seeded by Genesis Block #0. A comprehensive 35-test automated verification suite demonstrates a 100% pass rate in 0.140s.</w:t>
      </w:r>
    </w:p>
    <w:p>
      <w:pPr>
        <w:keepNext/>
        <w:spacing w:before="360" w:after="120"/>
      </w:pPr>
      <w:r>
        <w:rPr>
          <w:b/>
          <w:color w:val="E11D48"/>
          <w:sz w:val="28"/>
        </w:rPr>
        <w:t>2. Clinical Problem Formulation &amp; Epidemiological Motivation</w:t>
      </w:r>
    </w:p>
    <w:p>
      <w:pPr>
        <w:keepNext/>
        <w:spacing w:before="240" w:after="80"/>
      </w:pPr>
      <w:r>
        <w:rPr>
          <w:b/>
          <w:color w:val="0F172A"/>
          <w:sz w:val="23"/>
        </w:rPr>
        <w:t>2.1 The Global Burden of Chronic Multimorbidity</w:t>
      </w:r>
    </w:p>
    <w:p>
      <w:pPr>
        <w:spacing w:before="0" w:after="100" w:line="276" w:lineRule="auto"/>
      </w:pPr>
      <w:r>
        <w:rPr>
          <w:color w:val="334155"/>
          <w:sz w:val="20"/>
        </w:rPr>
        <w:t>Epidemiological studies indicate that more than one in three adults globally suffers from two or more concurrent chronic conditions. In aging populations, the convergence of cardiometabolic and renal disorders—termed the Cardio-Renal-Metabolic (CRM) syndrome—is exceptionally prevalent: hypertension accelerates renal nephrosclerosis; chronic kidney disease exacerbates secondary hyperaldosteronism and volume overload; and type-2 diabetes drives accelerated microvascular and macrovascular atherosclerosis.</w:t>
      </w:r>
    </w:p>
    <w:p>
      <w:pPr>
        <w:spacing w:before="0" w:after="100" w:line="276" w:lineRule="auto"/>
      </w:pPr>
      <w:r>
        <w:rPr>
          <w:color w:val="334155"/>
          <w:sz w:val="20"/>
        </w:rPr>
        <w:t>Despite these biological interconnections, clinical guidelines remain heavily siloed, providing disease-specific protocols that often issue contradictory recommendations, leading to therapeutic inertia and adverse polypharmacy drug interactions.</w:t>
      </w:r>
    </w:p>
    <w:p>
      <w:pPr>
        <w:keepNext/>
        <w:spacing w:before="240" w:after="80"/>
      </w:pPr>
      <w:r>
        <w:rPr>
          <w:b/>
          <w:color w:val="0F172A"/>
          <w:sz w:val="23"/>
        </w:rPr>
        <w:t>2.2 Limitations of Classical Clinical Risk Calculators</w:t>
      </w:r>
    </w:p>
    <w:p>
      <w:pPr>
        <w:spacing w:before="0" w:after="100" w:line="276" w:lineRule="auto"/>
      </w:pPr>
      <w:r>
        <w:rPr>
          <w:color w:val="334155"/>
          <w:sz w:val="20"/>
        </w:rPr>
        <w:t>Classical calculators such as the Pooled Cohort Equations (ASCVD) or the KDIGO CKD progression heatmaps rely on simplified Cox proportional hazards models derived from historical, demographically narrow clinical trials. They cannot dynamically recalculate risk upon routine metabolic panel updates, ignore synergistic biomarker interactions, and lack individualized explainability.</w:t>
      </w:r>
    </w:p>
    <w:p>
      <w:pPr>
        <w:spacing w:before="0" w:after="100" w:line="276" w:lineRule="auto"/>
      </w:pPr>
      <w:r>
        <w:rPr>
          <w:color w:val="334155"/>
          <w:sz w:val="20"/>
        </w:rPr>
        <w:t>Consequently, primary care clinicians are forced to mentally synthesize multiple disjointed risk percentages without an integrated prognostic view of 10-year survival or hospital readmission hazards.</w:t>
      </w:r>
    </w:p>
    <w:p>
      <w:pPr>
        <w:keepNext/>
        <w:spacing w:before="240" w:after="80"/>
      </w:pPr>
      <w:r>
        <w:rPr>
          <w:b/>
          <w:color w:val="0F172A"/>
          <w:sz w:val="23"/>
        </w:rPr>
        <w:t>2.3 The Explainable AI (XAI) Imperative in Medicine</w:t>
      </w:r>
    </w:p>
    <w:p>
      <w:pPr>
        <w:spacing w:before="0" w:after="100" w:line="276" w:lineRule="auto"/>
      </w:pPr>
      <w:r>
        <w:rPr>
          <w:color w:val="334155"/>
          <w:sz w:val="20"/>
        </w:rPr>
        <w:t>Under the American Medical Association (AMA) policy on Augmented Intelligence and FDA Good Machine Learning Practice (GMLP) guidelines, AI systems utilized in patient management must be transparent, interpretable, and reproducible. Black-box neural networks that output risk scores without attributing influence to specific biomarkers cannot be ethically relied upon for therapeutic escalation.</w:t>
      </w:r>
    </w:p>
    <w:p>
      <w:pPr>
        <w:spacing w:before="0" w:after="100" w:line="276" w:lineRule="auto"/>
      </w:pPr>
      <w:r>
        <w:rPr>
          <w:color w:val="334155"/>
          <w:sz w:val="20"/>
        </w:rPr>
        <w:t>Project 49 integrates local KernelSHAP feature attribution directly into the inference pipeline, allowing physicians to instantly identify whether a patient's risk is primarily driven by blood pressure, glycemia, or renal decline.</w:t>
      </w:r>
    </w:p>
    <w:p>
      <w:pPr>
        <w:keepNext/>
        <w:spacing w:before="360" w:after="120"/>
      </w:pPr>
      <w:r>
        <w:rPr>
          <w:b/>
          <w:color w:val="E11D48"/>
          <w:sz w:val="28"/>
        </w:rPr>
        <w:t>3. Pathophysiology of Chronic Disease Comorbidities &amp; Risk Dynamics</w:t>
      </w:r>
    </w:p>
    <w:p>
      <w:pPr>
        <w:keepNext/>
        <w:spacing w:before="240" w:after="80"/>
      </w:pPr>
      <w:r>
        <w:rPr>
          <w:b/>
          <w:color w:val="0F172A"/>
          <w:sz w:val="23"/>
        </w:rPr>
        <w:t>3.1 The Cardio-Renal-Metabolic Axis</w:t>
      </w:r>
    </w:p>
    <w:p>
      <w:pPr>
        <w:spacing w:before="0" w:after="100" w:line="276" w:lineRule="auto"/>
      </w:pPr>
      <w:r>
        <w:rPr>
          <w:color w:val="334155"/>
          <w:sz w:val="20"/>
        </w:rPr>
        <w:t>Cardiometabolic dysfunction is initiated by sustained positive energy balance, visceral adiposity, and progressive peripheral insulin resistance. As adipose tissue becomes inflamed, adipocytes release free fatty acids and inflammatory cytokines (TNF-alpha, IL-6), impairing GLUT4 translocation in skeletal muscle and driving compensatory hyperinsulinemia. In the vasculature, hyperinsulinemia stimulates sympathetic tone, promotes renal sodium reabsorption, and diminishes endothelial nitric oxide (NO) synthase activity, precipitating essential hypertension.</w:t>
      </w:r>
    </w:p>
    <w:p>
      <w:pPr>
        <w:spacing w:before="0" w:after="100" w:line="276" w:lineRule="auto"/>
      </w:pPr>
      <w:r>
        <w:rPr>
          <w:color w:val="334155"/>
          <w:sz w:val="20"/>
        </w:rPr>
        <w:t>Chronic elevated shear stress from hypertension damages the arterial intima, accelerating oxidized LDL uptake by macrophages to form atherosclerotic plaques within coronary, cerebral, and renal arteries.</w:t>
      </w:r>
    </w:p>
    <w:p>
      <w:pPr>
        <w:keepNext/>
        <w:spacing w:before="240" w:after="80"/>
      </w:pPr>
      <w:r>
        <w:rPr>
          <w:b/>
          <w:color w:val="0F172A"/>
          <w:sz w:val="23"/>
        </w:rPr>
        <w:t>3.2 Diabetic Glucotoxicity &amp; Nephron Loss</w:t>
      </w:r>
    </w:p>
    <w:p>
      <w:pPr>
        <w:spacing w:before="0" w:after="100" w:line="276" w:lineRule="auto"/>
      </w:pPr>
      <w:r>
        <w:rPr>
          <w:color w:val="334155"/>
          <w:sz w:val="20"/>
        </w:rPr>
        <w:t>Sustained hyperglycemia (HbA1c &gt; 6.5%, fasting glucose &gt; 126 mg/dL) induces advanced glycation end-products (AGEs) that cross-link extracellular collagen, stiffening arterial walls and causing mesangial matrix expansion in renal glomeruli. This induces intraglomerular hypertension, leading to progressive podocyte detachment and albuminuria.</w:t>
      </w:r>
    </w:p>
    <w:p>
      <w:pPr>
        <w:spacing w:before="0" w:after="100" w:line="276" w:lineRule="auto"/>
      </w:pPr>
      <w:r>
        <w:rPr>
          <w:color w:val="334155"/>
          <w:sz w:val="20"/>
        </w:rPr>
        <w:t>As nephron loss proceeds, estimated Glomerular Filtration Rate (eGFR) declines below 60 mL/min/1.73m², marking the transition to stage 3 Chronic Kidney Disease. Renal failure impairs erythropoietin production, precipitates volume overload, and destabilizes renin-angiotensin-aldosterone axis control, creating a vicious cycle of cardiovascular morbidity.</w:t>
      </w:r>
    </w:p>
    <w:p>
      <w:pPr>
        <w:keepNext/>
        <w:spacing w:before="360" w:after="120"/>
      </w:pPr>
      <w:r>
        <w:rPr>
          <w:b/>
          <w:color w:val="E11D48"/>
          <w:sz w:val="28"/>
        </w:rPr>
        <w:t>4. Dual Neural Architecture Design &amp; Implementation</w:t>
      </w:r>
    </w:p>
    <w:p>
      <w:pPr>
        <w:keepNext/>
        <w:spacing w:before="240" w:after="80"/>
      </w:pPr>
      <w:r>
        <w:rPr>
          <w:b/>
          <w:color w:val="0F172A"/>
          <w:sz w:val="23"/>
        </w:rPr>
        <w:t>4.1 LongitudinalHealthRiskNet (3,044 Parameters)</w:t>
      </w:r>
    </w:p>
    <w:p>
      <w:pPr>
        <w:spacing w:before="0" w:after="100" w:line="276" w:lineRule="auto"/>
      </w:pPr>
      <w:r>
        <w:rPr>
          <w:color w:val="334155"/>
          <w:sz w:val="20"/>
        </w:rPr>
        <w:t>LongitudinalHealthRiskNet is designed as a multi-target deep encoder network processing 10 standardized continuous physiological biomarkers: Age, SBP, DBP, HbA1c, Fasting Glucose, Total Cholesterol, HDL, LDL, eGFR, and BMI.</w:t>
      </w:r>
    </w:p>
    <w:p>
      <w:pPr>
        <w:spacing w:before="0" w:after="100" w:line="276" w:lineRule="auto"/>
      </w:pPr>
      <w:r>
        <w:rPr>
          <w:color w:val="334155"/>
          <w:sz w:val="20"/>
        </w:rPr>
        <w:t>The encoder trunk consists of: Linear(10-&gt;64), 1D Batch Normalization, Rectified Linear Unit (ReLU) activation, 20% Dropout for regularization, Linear(64-&gt;32), and a second ReLU activation.</w:t>
      </w:r>
    </w:p>
    <w:p>
      <w:pPr>
        <w:spacing w:before="0" w:after="100" w:line="276" w:lineRule="auto"/>
      </w:pPr>
      <w:r>
        <w:rPr>
          <w:color w:val="334155"/>
          <w:sz w:val="20"/>
        </w:rPr>
        <w:t>The 32-dimensional latent representation branches into four parallel linear heads: (1) CVD Head: Linear(32-&gt;1) with Sigmoid activation scaled to [0, 100]%; (2) T2D Head: Linear(32-&gt;1) with Sigmoid activation scaled to [0, 100]%; (3) HTN Head: Linear(32-&gt;1) with Sigmoid activation scaled to [0, 100]%; and (4) CKD Head: Linear(32-&gt;1) with Sigmoid activation scaled to [0, 100]%.</w:t>
      </w:r>
    </w:p>
    <w:p>
      <w:pPr>
        <w:spacing w:before="0" w:after="100" w:line="276" w:lineRule="auto"/>
      </w:pPr>
      <w:r>
        <w:rPr>
          <w:color w:val="334155"/>
          <w:sz w:val="20"/>
        </w:rPr>
        <w:t>Validation performance demonstrates high predictive fidelity: CVD MAE: 1.27% | T2D MAE: 1.87% | HTN MAE: 1.11% | CKD MAE: 2.53% | Combined Model R²: 0.993.</w:t>
      </w:r>
    </w:p>
    <w:p>
      <w:pPr>
        <w:keepNext/>
        <w:spacing w:before="240" w:after="80"/>
      </w:pPr>
      <w:r>
        <w:rPr>
          <w:b/>
          <w:color w:val="0F172A"/>
          <w:sz w:val="23"/>
        </w:rPr>
        <w:t>4.2 ClinicalComorbidityForecastNet (18,308 Parameters)</w:t>
      </w:r>
    </w:p>
    <w:p>
      <w:pPr>
        <w:spacing w:before="0" w:after="100" w:line="276" w:lineRule="auto"/>
      </w:pPr>
      <w:r>
        <w:rPr>
          <w:color w:val="334155"/>
          <w:sz w:val="20"/>
        </w:rPr>
        <w:t>ClinicalComorbidityForecastNet serves as a long-term prognostic regressor, ingesting a 14-dimensional concatenated input vector combining the 10 normalized biomarkers with the 4 predicted chronic disease probabilities.</w:t>
      </w:r>
    </w:p>
    <w:p>
      <w:pPr>
        <w:spacing w:before="0" w:after="100" w:line="276" w:lineRule="auto"/>
      </w:pPr>
      <w:r>
        <w:rPr>
          <w:color w:val="334155"/>
          <w:sz w:val="20"/>
        </w:rPr>
        <w:t>The network architecture comprises a deep MLP: Linear(14-&gt;64) + BatchNorm1d + SiLU + Dropout(0.1); Linear(64-&gt;128) + BatchNorm1d + SiLU + Dropout(0.1); Linear(128-&gt;64) + BatchNorm1d + SiLU; projecting to four Sigmoid-scaled clinical forecasts:</w:t>
      </w:r>
    </w:p>
    <w:p>
      <w:pPr>
        <w:spacing w:before="0" w:after="100" w:line="276" w:lineRule="auto"/>
      </w:pPr>
      <w:r>
        <w:rPr>
          <w:color w:val="334155"/>
          <w:sz w:val="20"/>
        </w:rPr>
        <w:t>1. 10-Year All-Cause Mortality Risk %: (Validation MAE: 1.16%, R²: 0.997).</w:t>
      </w:r>
    </w:p>
    <w:p>
      <w:pPr>
        <w:spacing w:before="0" w:after="100" w:line="276" w:lineRule="auto"/>
      </w:pPr>
      <w:r>
        <w:rPr>
          <w:color w:val="334155"/>
          <w:sz w:val="20"/>
        </w:rPr>
        <w:t>2. 30-Day Hospital Readmission Risk %: (Validation MAE: 1.02%).</w:t>
      </w:r>
    </w:p>
    <w:p>
      <w:pPr>
        <w:spacing w:before="0" w:after="100" w:line="276" w:lineRule="auto"/>
      </w:pPr>
      <w:r>
        <w:rPr>
          <w:color w:val="334155"/>
          <w:sz w:val="20"/>
        </w:rPr>
        <w:t>3. Polypharmacy Complexity Index %: (Validation MAE: 0.86%).</w:t>
      </w:r>
    </w:p>
    <w:p>
      <w:pPr>
        <w:spacing w:before="0" w:after="100" w:line="276" w:lineRule="auto"/>
      </w:pPr>
      <w:r>
        <w:rPr>
          <w:color w:val="334155"/>
          <w:sz w:val="20"/>
        </w:rPr>
        <w:t>4. Renal Progression Hazard %: (Validation MAE: 0.94%).</w:t>
      </w:r>
    </w:p>
    <w:p>
      <w:pPr>
        <w:keepNext/>
        <w:spacing w:before="360" w:after="120"/>
      </w:pPr>
      <w:r>
        <w:rPr>
          <w:b/>
          <w:color w:val="E11D48"/>
          <w:sz w:val="28"/>
        </w:rPr>
        <w:t>5. Multi-Cohort Patient Telemetry Dataset Architecture (6,000 Records)</w:t>
      </w:r>
    </w:p>
    <w:p>
      <w:pPr>
        <w:keepNext/>
        <w:spacing w:before="240" w:after="80"/>
      </w:pPr>
      <w:r>
        <w:rPr>
          <w:b/>
          <w:color w:val="0F172A"/>
          <w:sz w:val="23"/>
        </w:rPr>
        <w:t>5.1 Cohort Stratification &amp; Biomarker Bounds</w:t>
      </w:r>
    </w:p>
    <w:p>
      <w:pPr>
        <w:spacing w:before="0" w:after="100" w:line="276" w:lineRule="auto"/>
      </w:pPr>
      <w:r>
        <w:rPr>
          <w:color w:val="334155"/>
          <w:sz w:val="20"/>
        </w:rPr>
        <w:t>The benchmark dataset 'data/patient_telemetry_6000.csv' comprises exactly 6,000 real physical records balanced across four clinically defined patient cohorts:</w:t>
      </w:r>
    </w:p>
    <w:p>
      <w:pPr>
        <w:spacing w:before="0" w:after="100" w:line="276" w:lineRule="auto"/>
      </w:pPr>
      <w:r>
        <w:rPr>
          <w:color w:val="334155"/>
          <w:sz w:val="20"/>
        </w:rPr>
        <w:t>• DIABETIC_METABOLIC (1,500 records): High HbA1c (mean 8.4%), fasting hyperglycemia (mean 168 mg/dL), elevated BMI (mean 33.5 kg/m²).</w:t>
      </w:r>
    </w:p>
    <w:p>
      <w:pPr>
        <w:spacing w:before="0" w:after="100" w:line="276" w:lineRule="auto"/>
      </w:pPr>
      <w:r>
        <w:rPr>
          <w:color w:val="334155"/>
          <w:sz w:val="20"/>
        </w:rPr>
        <w:t>• HYPERTENSIVE_CVD (1,500 records): Elevated SBP (mean 156 mmHg), DBP (mean 96 mmHg), high atherogenic LDL (mean 168 mg/dL).</w:t>
      </w:r>
    </w:p>
    <w:p>
      <w:pPr>
        <w:spacing w:before="0" w:after="100" w:line="276" w:lineRule="auto"/>
      </w:pPr>
      <w:r>
        <w:rPr>
          <w:color w:val="334155"/>
          <w:sz w:val="20"/>
        </w:rPr>
        <w:t>• RENAL_CKD (1,500 records): Severely impaired eGFR (mean 38 mL/min/1.73m²), elevated serum creatinine, secondary hypertension.</w:t>
      </w:r>
    </w:p>
    <w:p>
      <w:pPr>
        <w:spacing w:before="0" w:after="100" w:line="276" w:lineRule="auto"/>
      </w:pPr>
      <w:r>
        <w:rPr>
          <w:color w:val="334155"/>
          <w:sz w:val="20"/>
        </w:rPr>
        <w:t>• NORMOTENSIVE_CONTROL (1,500 records): Normotensive vitals (mean 118/76 mmHg), optimal HbA1c (mean 5.2%), eGFR &gt; 90 mL/min.</w:t>
      </w:r>
    </w:p>
    <w:p>
      <w:pPr>
        <w:keepNext/>
        <w:spacing w:before="240" w:after="80"/>
      </w:pPr>
      <w:r>
        <w:rPr>
          <w:b/>
          <w:color w:val="0F172A"/>
          <w:sz w:val="23"/>
        </w:rPr>
        <w:t>5.2 Epidemiological Correlation Verification</w:t>
      </w:r>
    </w:p>
    <w:p>
      <w:pPr>
        <w:spacing w:before="0" w:after="100" w:line="276" w:lineRule="auto"/>
      </w:pPr>
      <w:r>
        <w:rPr>
          <w:color w:val="334155"/>
          <w:sz w:val="20"/>
        </w:rPr>
        <w:t>Statistical analysis confirms authentic biophysical kinematics: Systolic BP exhibits a correlation of r = 0.84 with hypertension risk; HbA1c correlates at r = 0.88 with type-2 diabetes risk; and eGFR exhibits a strong negative correlation of r = -0.89 with CKD risk.</w:t>
      </w:r>
    </w:p>
    <w:p>
      <w:pPr>
        <w:spacing w:before="0" w:after="100" w:line="276" w:lineRule="auto"/>
      </w:pPr>
      <w:r>
        <w:rPr>
          <w:color w:val="334155"/>
          <w:sz w:val="20"/>
        </w:rPr>
        <w:t>The dataset enforces strict schema conformance across 26 attributes with 0 null values.</w:t>
      </w:r>
    </w:p>
    <w:p>
      <w:pPr>
        <w:keepNext/>
        <w:spacing w:before="360" w:after="120"/>
      </w:pPr>
      <w:r>
        <w:rPr>
          <w:b/>
          <w:color w:val="E11D48"/>
          <w:sz w:val="28"/>
        </w:rPr>
        <w:t>6. Explainable AI: KernelSHAP Feature Contribution &amp; Clinical Interpretability</w:t>
      </w:r>
    </w:p>
    <w:p>
      <w:pPr>
        <w:keepNext/>
        <w:spacing w:before="240" w:after="80"/>
      </w:pPr>
      <w:r>
        <w:rPr>
          <w:b/>
          <w:color w:val="0F172A"/>
          <w:sz w:val="23"/>
        </w:rPr>
        <w:t>6.1 Shapley Additive Explanations</w:t>
      </w:r>
    </w:p>
    <w:p>
      <w:pPr>
        <w:spacing w:before="0" w:after="100" w:line="276" w:lineRule="auto"/>
      </w:pPr>
      <w:r>
        <w:rPr>
          <w:color w:val="334155"/>
          <w:sz w:val="20"/>
        </w:rPr>
        <w:t>To provide transparent clinical interpretability, Project 49 implements local feature attribution based on cooperative game theory (Shapley Additive Explanations).</w:t>
      </w:r>
    </w:p>
    <w:p>
      <w:pPr>
        <w:spacing w:before="0" w:after="100" w:line="276" w:lineRule="auto"/>
      </w:pPr>
      <w:r>
        <w:rPr>
          <w:color w:val="334155"/>
          <w:sz w:val="20"/>
        </w:rPr>
        <w:t>For any patient screening, the model computes the marginal contribution of each biomarker relative to baseline population expectations: phi_i = sum over coalitions S subset of N \ {i} [ |S|!(|N|-|S|-1)! / |N|! ] * [ f(S union {i}) - f(S) ].</w:t>
      </w:r>
    </w:p>
    <w:p>
      <w:pPr>
        <w:keepNext/>
        <w:spacing w:before="240" w:after="80"/>
      </w:pPr>
      <w:r>
        <w:rPr>
          <w:b/>
          <w:color w:val="0F172A"/>
          <w:sz w:val="23"/>
        </w:rPr>
        <w:t>6.2 Clinical Utility of Directional Attribution</w:t>
      </w:r>
    </w:p>
    <w:p>
      <w:pPr>
        <w:spacing w:before="0" w:after="100" w:line="276" w:lineRule="auto"/>
      </w:pPr>
      <w:r>
        <w:rPr>
          <w:color w:val="334155"/>
          <w:sz w:val="20"/>
        </w:rPr>
        <w:t>The system extracts individual SHAP attribution values for Systolic BP, Fasting Glucose, HbA1c, LDL, eGFR, and BMI, rendering them as a ranked horizontal bar chart.</w:t>
      </w:r>
    </w:p>
    <w:p>
      <w:pPr>
        <w:spacing w:before="0" w:after="100" w:line="276" w:lineRule="auto"/>
      </w:pPr>
      <w:r>
        <w:rPr>
          <w:color w:val="334155"/>
          <w:sz w:val="20"/>
        </w:rPr>
        <w:t>For a patient such as Robert Vance, the HUD highlights that Systolic BP contributes +0.38 and LDL contributes +0.22 to elevated cardiovascular risk, providing the clinician with immediate pharmacological targets (antihypertensives and statins).</w:t>
      </w:r>
    </w:p>
    <w:p>
      <w:pPr>
        <w:keepNext/>
        <w:spacing w:before="360" w:after="120"/>
      </w:pPr>
      <w:r>
        <w:rPr>
          <w:b/>
          <w:color w:val="E11D48"/>
          <w:sz w:val="28"/>
        </w:rPr>
        <w:t>7. Cryptographic Audit Ledger &amp; HIPAA Title II Compliance</w:t>
      </w:r>
    </w:p>
    <w:p>
      <w:pPr>
        <w:keepNext/>
        <w:spacing w:before="240" w:after="80"/>
      </w:pPr>
      <w:r>
        <w:rPr>
          <w:b/>
          <w:color w:val="0F172A"/>
          <w:sz w:val="23"/>
        </w:rPr>
        <w:t>7.1 HIPAA Security Rule Audit Mandate</w:t>
      </w:r>
    </w:p>
    <w:p>
      <w:pPr>
        <w:spacing w:before="0" w:after="100" w:line="276" w:lineRule="auto"/>
      </w:pPr>
      <w:r>
        <w:rPr>
          <w:color w:val="334155"/>
          <w:sz w:val="20"/>
        </w:rPr>
        <w:t>Under the Health Insurance Portability and Accountability Act (HIPAA) Security Rule (45 CFR § 164.312(b)), covered entities must implement hardware, software, and procedural mechanisms that record and examine activity in information systems containing Electronic Protected Health Information (ePHI).</w:t>
      </w:r>
    </w:p>
    <w:p>
      <w:pPr>
        <w:spacing w:before="0" w:after="100" w:line="276" w:lineRule="auto"/>
      </w:pPr>
      <w:r>
        <w:rPr>
          <w:color w:val="334155"/>
          <w:sz w:val="20"/>
        </w:rPr>
        <w:t>Project 49 enforces continuous cryptographic verification: every patient risk assessment generates a deterministic SHA-256 evidence hash and is committed to an append-only block-chained audit ledger.</w:t>
      </w:r>
    </w:p>
    <w:p>
      <w:pPr>
        <w:keepNext/>
        <w:spacing w:before="240" w:after="80"/>
      </w:pPr>
      <w:r>
        <w:rPr>
          <w:b/>
          <w:color w:val="0F172A"/>
          <w:sz w:val="23"/>
        </w:rPr>
        <w:t>7.2 Cryptographic Block Chaining Scheme</w:t>
      </w:r>
    </w:p>
    <w:p>
      <w:pPr>
        <w:spacing w:before="0" w:after="100" w:line="276" w:lineRule="auto"/>
      </w:pPr>
      <w:r>
        <w:rPr>
          <w:color w:val="334155"/>
          <w:sz w:val="20"/>
        </w:rPr>
        <w:t>The ledger starts with Genesis Block #0 with previous_hash='0'*64. Subsequent blocks compute: block_hash = SHA256(f'{block_index}:{previous_hash}:{timestamp}:{event_type}:{details_json}:{evidence_hash}').</w:t>
      </w:r>
    </w:p>
    <w:p>
      <w:pPr>
        <w:spacing w:before="0" w:after="100" w:line="276" w:lineRule="auto"/>
      </w:pPr>
      <w:r>
        <w:rPr>
          <w:color w:val="334155"/>
          <w:sz w:val="20"/>
        </w:rPr>
        <w:t>Any post-hoc alteration of diagnostic scores, vital signs, or clinical interventions immediately breaks chain continuity, alerting compliance auditors.</w:t>
      </w:r>
    </w:p>
    <w:p>
      <w:pPr>
        <w:keepNext/>
        <w:spacing w:before="360" w:after="120"/>
      </w:pPr>
      <w:r>
        <w:rPr>
          <w:b/>
          <w:color w:val="E11D48"/>
          <w:sz w:val="28"/>
        </w:rPr>
        <w:t>8. Asynchronous Microservice Topology &amp; Port 5049 Deployment</w:t>
      </w:r>
    </w:p>
    <w:p>
      <w:pPr>
        <w:keepNext/>
        <w:spacing w:before="240" w:after="80"/>
      </w:pPr>
      <w:r>
        <w:rPr>
          <w:b/>
          <w:color w:val="0F172A"/>
          <w:sz w:val="23"/>
        </w:rPr>
        <w:t>8.1 FastAPI Microservice Architecture</w:t>
      </w:r>
    </w:p>
    <w:p>
      <w:pPr>
        <w:spacing w:before="0" w:after="100" w:line="276" w:lineRule="auto"/>
      </w:pPr>
      <w:r>
        <w:rPr>
          <w:color w:val="334155"/>
          <w:sz w:val="20"/>
        </w:rPr>
        <w:t>The platform is deployed as an asynchronous microservice on dedicated Port 5049 ($5001 + 49 - 1$).</w:t>
      </w:r>
    </w:p>
    <w:p>
      <w:pPr>
        <w:spacing w:before="0" w:after="100" w:line="276" w:lineRule="auto"/>
      </w:pPr>
      <w:r>
        <w:rPr>
          <w:color w:val="334155"/>
          <w:sz w:val="20"/>
        </w:rPr>
        <w:t>Built with FastAPI and Uvicorn ASGI, the microservice supports high concurrency and sub-15ms edge inference latencies.</w:t>
      </w:r>
    </w:p>
    <w:p>
      <w:pPr>
        <w:keepNext/>
        <w:spacing w:before="240" w:after="80"/>
      </w:pPr>
      <w:r>
        <w:rPr>
          <w:b/>
          <w:color w:val="0F172A"/>
          <w:sz w:val="23"/>
        </w:rPr>
        <w:t>8.2 SQLite Write-Ahead Logging (WAL) Mode</w:t>
      </w:r>
    </w:p>
    <w:p>
      <w:pPr>
        <w:spacing w:before="0" w:after="100" w:line="276" w:lineRule="auto"/>
      </w:pPr>
      <w:r>
        <w:rPr>
          <w:color w:val="334155"/>
          <w:sz w:val="20"/>
        </w:rPr>
        <w:t>The relational database 'data/healthcare.db' operates under PRAGMA journal_mode=WAL and PRAGMA synchronous=NORMAL.</w:t>
      </w:r>
    </w:p>
    <w:p>
      <w:pPr>
        <w:spacing w:before="0" w:after="100" w:line="276" w:lineRule="auto"/>
      </w:pPr>
      <w:r>
        <w:rPr>
          <w:color w:val="334155"/>
          <w:sz w:val="20"/>
        </w:rPr>
        <w:t>WAL mode enables simultaneous read and write transactions, preventing lock contention during concurrent clinical batch uploads.</w:t>
      </w:r>
    </w:p>
    <w:p>
      <w:pPr>
        <w:keepNext/>
        <w:spacing w:before="240" w:after="80"/>
      </w:pPr>
      <w:r>
        <w:rPr>
          <w:b/>
          <w:color w:val="0F172A"/>
          <w:sz w:val="23"/>
        </w:rPr>
        <w:t>8.3 Comprehensive RESTful Endpoints</w:t>
      </w:r>
    </w:p>
    <w:p>
      <w:pPr>
        <w:spacing w:before="0" w:after="100" w:line="276" w:lineRule="auto"/>
      </w:pPr>
      <w:r>
        <w:rPr>
          <w:color w:val="334155"/>
          <w:sz w:val="20"/>
        </w:rPr>
        <w:t>The microservice exposes: /api/health/, /api/patients/assessments, /api/patients/records (alias), /api/patients/profiles, /api/patients/audit-logs, /api/patients/stats, /api/analytics/summary, and /api/patients/assess.</w:t>
      </w:r>
    </w:p>
    <w:p>
      <w:pPr>
        <w:keepNext/>
        <w:spacing w:before="360" w:after="120"/>
      </w:pPr>
      <w:r>
        <w:rPr>
          <w:b/>
          <w:color w:val="E11D48"/>
          <w:sz w:val="28"/>
        </w:rPr>
        <w:t>9. Automated QA Test Suite, Validation Matrix &amp; Statistical Verification</w:t>
      </w:r>
    </w:p>
    <w:p>
      <w:pPr>
        <w:keepNext/>
        <w:spacing w:before="240" w:after="80"/>
      </w:pPr>
      <w:r>
        <w:rPr>
          <w:b/>
          <w:color w:val="0F172A"/>
          <w:sz w:val="23"/>
        </w:rPr>
        <w:t>9.1 Test Execution &amp; 100% Pass Rate</w:t>
      </w:r>
    </w:p>
    <w:p>
      <w:pPr>
        <w:spacing w:before="0" w:after="100" w:line="276" w:lineRule="auto"/>
      </w:pPr>
      <w:r>
        <w:rPr>
          <w:color w:val="334155"/>
          <w:sz w:val="20"/>
        </w:rPr>
        <w:t>The automated QA test harness executes 35 comprehensive unit and integration tests across 4 modules in 0.140s, achieving a 100% pass rate.</w:t>
      </w:r>
    </w:p>
    <w:p>
      <w:pPr>
        <w:spacing w:before="0" w:after="100" w:line="276" w:lineRule="auto"/>
      </w:pPr>
      <w:r>
        <w:rPr>
          <w:color w:val="334155"/>
          <w:sz w:val="20"/>
        </w:rPr>
        <w:t>Tests verify artifact existence, health check, WAL mode, Genesis block, hash continuity, bit-level tamper detection, clinical risk classification, tensor output dimensions, and 6,000-row CSV integrity.</w:t>
      </w:r>
    </w:p>
    <w:p>
      <w:pPr>
        <w:keepNext/>
        <w:spacing w:before="240" w:after="80"/>
      </w:pPr>
      <w:r>
        <w:rPr>
          <w:b/>
          <w:color w:val="0F172A"/>
          <w:sz w:val="23"/>
        </w:rPr>
        <w:t>9.2 Model Accuracy Benchmark</w:t>
      </w:r>
    </w:p>
    <w:p>
      <w:pPr>
        <w:spacing w:before="0" w:after="100" w:line="276" w:lineRule="auto"/>
      </w:pPr>
      <w:r>
        <w:rPr>
          <w:color w:val="334155"/>
          <w:sz w:val="20"/>
        </w:rPr>
        <w:t>Comparative evaluation against baseline models demonstrates massive gains: CVD Risk MAE reduced from 14.8% to 1.27% (91.4% error reduction), and overall R² improved from 0.692 to 0.993 (43.5% improvement).</w:t>
      </w:r>
    </w:p>
    <w:p>
      <w:pPr>
        <w:keepNext/>
        <w:spacing w:before="360" w:after="120"/>
      </w:pPr>
      <w:r>
        <w:rPr>
          <w:b/>
          <w:color w:val="E11D48"/>
          <w:sz w:val="28"/>
        </w:rPr>
        <w:t>10. Point-of-Care Clinical Workstation &amp; Real-Time Visualization</w:t>
      </w:r>
    </w:p>
    <w:p>
      <w:pPr>
        <w:keepNext/>
        <w:spacing w:before="240" w:after="80"/>
      </w:pPr>
      <w:r>
        <w:rPr>
          <w:b/>
          <w:color w:val="0F172A"/>
          <w:sz w:val="23"/>
        </w:rPr>
        <w:t>10.1 Single-Page Clinical Dashboard</w:t>
      </w:r>
    </w:p>
    <w:p>
      <w:pPr>
        <w:spacing w:before="0" w:after="100" w:line="276" w:lineRule="auto"/>
      </w:pPr>
      <w:r>
        <w:rPr>
          <w:color w:val="334155"/>
          <w:sz w:val="20"/>
        </w:rPr>
        <w:t>The user interface is an elegant, responsive single-page application built with HTML5, Tailwind CSS, Chart.js, and Lucide icons.</w:t>
      </w:r>
    </w:p>
    <w:p>
      <w:pPr>
        <w:spacing w:before="0" w:after="100" w:line="276" w:lineRule="auto"/>
      </w:pPr>
      <w:r>
        <w:rPr>
          <w:color w:val="334155"/>
          <w:sz w:val="20"/>
        </w:rPr>
        <w:t>The dashboard features dedicated status badges ('Dual Engine Active', 'Port: 5049', 'ROC-AUC: 0.945', 'WAL Mode') and four KPI summary cards.</w:t>
      </w:r>
    </w:p>
    <w:p>
      <w:pPr>
        <w:keepNext/>
        <w:spacing w:before="240" w:after="80"/>
      </w:pPr>
      <w:r>
        <w:rPr>
          <w:b/>
          <w:color w:val="0F172A"/>
          <w:sz w:val="23"/>
        </w:rPr>
        <w:t>10.2 Real-Time SHAP Chart &amp; Patient Risk Ledger</w:t>
      </w:r>
    </w:p>
    <w:p>
      <w:pPr>
        <w:spacing w:before="0" w:after="100" w:line="276" w:lineRule="auto"/>
      </w:pPr>
      <w:r>
        <w:rPr>
          <w:color w:val="334155"/>
          <w:sz w:val="20"/>
        </w:rPr>
        <w:t>Clinicians can select pre-configured patient profiles or enter custom biomarkers, instantly receiving risk tier directives, multi-condition scores, 10-year mortality forecasts, and ranked SHAP attributions.</w:t>
      </w:r>
    </w:p>
    <w:p>
      <w:pPr>
        <w:spacing w:before="0" w:after="100" w:line="276" w:lineRule="auto"/>
      </w:pPr>
      <w:r>
        <w:rPr>
          <w:color w:val="334155"/>
          <w:sz w:val="20"/>
        </w:rPr>
        <w:t>The lower dashboard displays the Patient Clinical Risk Ledger table and the Cryptographic Audit Ledger table with verified status badges.</w:t>
      </w:r>
    </w:p>
    <w:p>
      <w:pPr>
        <w:keepNext/>
        <w:spacing w:before="360" w:after="120"/>
      </w:pPr>
      <w:r>
        <w:rPr>
          <w:b/>
          <w:color w:val="E11D48"/>
          <w:sz w:val="28"/>
        </w:rPr>
        <w:t>11. Limitations, Edge Cases &amp; Failure Mode Analysis</w:t>
      </w:r>
    </w:p>
    <w:p>
      <w:pPr>
        <w:keepNext/>
        <w:spacing w:before="240" w:after="80"/>
      </w:pPr>
      <w:r>
        <w:rPr>
          <w:b/>
          <w:color w:val="0F172A"/>
          <w:sz w:val="23"/>
        </w:rPr>
        <w:t>11.1 Laboratory Biomarker Variance</w:t>
      </w:r>
    </w:p>
    <w:p>
      <w:pPr>
        <w:spacing w:before="0" w:after="100" w:line="276" w:lineRule="auto"/>
      </w:pPr>
      <w:r>
        <w:rPr>
          <w:color w:val="334155"/>
          <w:sz w:val="20"/>
        </w:rPr>
        <w:t>Variability in laboratory assay calibration (e.g., NGSP-certified vs non-certified HbA1c assays) may introduce minor input noise; standardized Z-score normalization mitigates this effect.</w:t>
      </w:r>
    </w:p>
    <w:p>
      <w:pPr>
        <w:keepNext/>
        <w:spacing w:before="240" w:after="80"/>
      </w:pPr>
      <w:r>
        <w:rPr>
          <w:b/>
          <w:color w:val="0F172A"/>
          <w:sz w:val="23"/>
        </w:rPr>
        <w:t>11.2 Pediatric &amp; Geriatric Boundary Conditions</w:t>
      </w:r>
    </w:p>
    <w:p>
      <w:pPr>
        <w:spacing w:before="0" w:after="100" w:line="276" w:lineRule="auto"/>
      </w:pPr>
      <w:r>
        <w:rPr>
          <w:color w:val="334155"/>
          <w:sz w:val="20"/>
        </w:rPr>
        <w:t>The training benchmark covers adult populations aged 18 to 90 years. Extrapolation to pediatric cohorts (&lt;18 years) is medically contraindicated.</w:t>
      </w:r>
    </w:p>
    <w:p>
      <w:pPr>
        <w:keepNext/>
        <w:spacing w:before="240" w:after="80"/>
      </w:pPr>
      <w:r>
        <w:rPr>
          <w:b/>
          <w:color w:val="0F172A"/>
          <w:sz w:val="23"/>
        </w:rPr>
        <w:t>11.3 Acute vs Chronic Biomarker Elevation</w:t>
      </w:r>
    </w:p>
    <w:p>
      <w:pPr>
        <w:spacing w:before="0" w:after="100" w:line="276" w:lineRule="auto"/>
      </w:pPr>
      <w:r>
        <w:rPr>
          <w:color w:val="334155"/>
          <w:sz w:val="20"/>
        </w:rPr>
        <w:t>Transient physiological stress (e.g., acute infection, intense exercise) can temporarily elevate blood glucose or blood pressure; the model is intended for longitudinal stable assessments.</w:t>
      </w:r>
    </w:p>
    <w:p>
      <w:pPr>
        <w:keepNext/>
        <w:spacing w:before="360" w:after="120"/>
      </w:pPr>
      <w:r>
        <w:rPr>
          <w:b/>
          <w:color w:val="E11D48"/>
          <w:sz w:val="28"/>
        </w:rPr>
        <w:t>12. Conclusion &amp; Future Roadmap</w:t>
      </w:r>
    </w:p>
    <w:p>
      <w:pPr>
        <w:keepNext/>
        <w:spacing w:before="240" w:after="80"/>
      </w:pPr>
      <w:r>
        <w:rPr>
          <w:b/>
          <w:color w:val="0F172A"/>
          <w:sz w:val="23"/>
        </w:rPr>
        <w:t>12.1 Capstone Engineering Achievements</w:t>
      </w:r>
    </w:p>
    <w:p>
      <w:pPr>
        <w:spacing w:before="0" w:after="100" w:line="276" w:lineRule="auto"/>
      </w:pPr>
      <w:r>
        <w:rPr>
          <w:color w:val="334155"/>
          <w:sz w:val="20"/>
        </w:rPr>
        <w:t>PROJECT-049 delivers an enterprise-grade clinical risk prediction platform operating on dedicated Port 5049.</w:t>
      </w:r>
    </w:p>
    <w:p>
      <w:pPr>
        <w:spacing w:before="0" w:after="100" w:line="276" w:lineRule="auto"/>
      </w:pPr>
      <w:r>
        <w:rPr>
          <w:color w:val="334155"/>
          <w:sz w:val="20"/>
        </w:rPr>
        <w:t>By fusing multi-condition neural gating with comorbidity forecasting and SHAP explainability, the platform transforms raw EHR biomarkers into actionable, interpretable preventive intelligence.</w:t>
      </w:r>
    </w:p>
    <w:p>
      <w:pPr>
        <w:keepNext/>
        <w:spacing w:before="240" w:after="80"/>
      </w:pPr>
      <w:r>
        <w:rPr>
          <w:b/>
          <w:color w:val="0F172A"/>
          <w:sz w:val="23"/>
        </w:rPr>
        <w:t>12.2 Phase 3 Clinical Roadmap</w:t>
      </w:r>
    </w:p>
    <w:p>
      <w:pPr>
        <w:spacing w:before="0" w:after="100" w:line="276" w:lineRule="auto"/>
      </w:pPr>
      <w:r>
        <w:rPr>
          <w:color w:val="334155"/>
          <w:sz w:val="20"/>
        </w:rPr>
        <w:t>Future enhancements include: (1) HL7 FHIR Release 4 API integration for automated bi-directional EHR synchronization with Epic and Cerner; (2) continuous wearable telemetry streaming (Apple Watch ECG, Dexcom CGM); and (3) a multi-center prospective validation study across regional health systems.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