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60" w:before="0"/>
        <w:jc w:val="center"/>
      </w:pPr>
      <w:r>
        <w:rPr>
          <w:rFonts w:ascii="Arial" w:cs="Arial" w:eastAsia="Arial" w:hAnsi="Arial"/>
          <w:b/>
          <w:bCs/>
          <w:color w:val="1F3864"/>
          <w:sz w:val="56"/>
          <w:szCs w:val="56"/>
        </w:rPr>
        <w:t xml:space="preserve">REAL-TIME BEHAVIORAL</w:t>
      </w:r>
    </w:p>
    <w:p>
      <w:pPr>
        <w:spacing w:after="120" w:before="0"/>
        <w:jc w:val="center"/>
      </w:pPr>
      <w:r>
        <w:rPr>
          <w:rFonts w:ascii="Arial" w:cs="Arial" w:eastAsia="Arial" w:hAnsi="Arial"/>
          <w:b/>
          <w:bCs/>
          <w:color w:val="1F3864"/>
          <w:sz w:val="56"/>
          <w:szCs w:val="56"/>
        </w:rPr>
        <w:t xml:space="preserve">FRAUD DETECTION ENGINE</w:t>
      </w:r>
    </w:p>
    <w:p>
      <w:pPr>
        <w:spacing w:after="480" w:before="0"/>
        <w:jc w:val="center"/>
      </w:pPr>
      <w:r>
        <w:rPr>
          <w:rFonts w:ascii="Arial" w:cs="Arial" w:eastAsia="Arial" w:hAnsi="Arial"/>
          <w:color w:val="2E75B6"/>
          <w:sz w:val="32"/>
          <w:szCs w:val="32"/>
        </w:rPr>
        <w:t xml:space="preserve">Prototype Infrastructure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none" w:color="FFFFFF" w:sz="0"/>
              <w:bottom w:val="single" w:color="2E75B6" w:sz="12"/>
              <w:right w:val="none" w:color="FFFFFF" w:sz="0"/>
            </w:tcBorders>
            <w:shd w:fill="D6E4F0" w:val="clear"/>
            <w:tcMar>
              <w:top w:type="dxa" w:w="160"/>
              <w:left w:type="dxa" w:w="240"/>
              <w:bottom w:type="dxa" w:w="160"/>
              <w:right w:type="dxa" w:w="240"/>
            </w:tcMar>
          </w:tcPr>
          <w:p>
            <w:pPr>
              <w:spacing w:after="80" w:before="0"/>
              <w:jc w:val="center"/>
            </w:pPr>
            <w:r>
              <w:rPr>
                <w:rFonts w:ascii="Arial" w:cs="Arial" w:eastAsia="Arial" w:hAnsi="Arial"/>
                <w:b/>
                <w:bCs/>
                <w:color w:val="595959"/>
                <w:sz w:val="24"/>
                <w:szCs w:val="24"/>
              </w:rPr>
              <w:t xml:space="preserve">LLM Selection  |  Transaction Generator  |  Cloud Hosting</w:t>
            </w:r>
          </w:p>
          <w:p>
            <w:pPr>
              <w:spacing w:after="0" w:before="0"/>
              <w:jc w:val="center"/>
            </w:pPr>
            <w:r>
              <w:rPr>
                <w:rFonts w:ascii="Arial" w:cs="Arial" w:eastAsia="Arial" w:hAnsi="Arial"/>
                <w:color w:val="595959"/>
                <w:sz w:val="22"/>
                <w:szCs w:val="22"/>
              </w:rPr>
              <w:t xml:space="preserve">Open Source Edition — Prototype v1.0</w:t>
            </w:r>
          </w:p>
        </w:tc>
      </w:tr>
    </w:tbl>
    <w:p>
      <w:pPr>
        <w:spacing w:after="600" w:before="0"/>
      </w:pPr>
      <w:r>
        <w:t xml:space="preserve"/>
      </w:r>
    </w:p>
    <w:p>
      <w:pPr>
        <w:spacing w:after="60" w:before="0"/>
        <w:jc w:val="center"/>
      </w:pPr>
      <w:r>
        <w:rPr>
          <w:rFonts w:ascii="Arial" w:cs="Arial" w:eastAsia="Arial" w:hAnsi="Arial"/>
          <w:color w:val="595959"/>
          <w:sz w:val="20"/>
          <w:szCs w:val="20"/>
        </w:rPr>
        <w:t xml:space="preserve">Classification: Internal — Architecture</w:t>
      </w:r>
    </w:p>
    <w:p>
      <w:pPr>
        <w:spacing w:after="0" w:before="0"/>
        <w:jc w:val="center"/>
      </w:pPr>
      <w:r>
        <w:rPr>
          <w:rFonts w:ascii="Arial" w:cs="Arial" w:eastAsia="Arial" w:hAnsi="Arial"/>
          <w:color w:val="595959"/>
          <w:sz w:val="20"/>
          <w:szCs w:val="20"/>
        </w:rPr>
        <w:t xml:space="preserve">Document Owner: Lead Application Architect</w:t>
      </w:r>
    </w:p>
    <w:p>
      <w:pPr>
        <w:pageBreakBefore/>
      </w:pPr>
      <w:r>
        <w:br/>
        <w:t xml:space="preserve"/>
      </w:r>
    </w:p>
    <w:p>
      <w:pPr>
        <w:pStyle w:val="Heading1"/>
        <w:pBdr>
          <w:bottom w:val="single" w:color="2E75B6" w:sz="6" w:space="4"/>
        </w:pBdr>
        <w:shd w:fill="1F3864" w:val="clear"/>
        <w:spacing w:after="160" w:before="280"/>
        <w:ind w:left="200" w:right="200"/>
      </w:pPr>
      <w:r>
        <w:rPr>
          <w:rFonts w:ascii="Arial" w:cs="Arial" w:eastAsia="Arial" w:hAnsi="Arial"/>
          <w:b/>
          <w:bCs/>
          <w:color w:val="FFFFFF"/>
          <w:sz w:val="34"/>
          <w:szCs w:val="34"/>
        </w:rPr>
        <w:t xml:space="preserve">1. LLM Selection — Open Source Edition</w:t>
      </w:r>
    </w:p>
    <w:p>
      <w:pPr>
        <w:spacing w:after="80" w:before="0"/>
      </w:pPr>
      <w:r>
        <w:t xml:space="preserve"/>
      </w:r>
    </w:p>
    <w:p>
      <w:pPr>
        <w:spacing w:after="100" w:before="60"/>
      </w:pPr>
      <w:r>
        <w:rPr>
          <w:rFonts w:ascii="Arial" w:cs="Arial" w:eastAsia="Arial" w:hAnsi="Arial"/>
          <w:b w:val="false"/>
          <w:bCs w:val="false"/>
          <w:color w:val="000000"/>
          <w:sz w:val="22"/>
          <w:szCs w:val="22"/>
        </w:rPr>
        <w:t xml:space="preserve">The LLM operates exclusively in the Explain path — generating human-readable explanations from SHAP values and feature deltas. It is never in the 30ms Act path. This separation means latency tolerance is seconds, not milliseconds, which significantly broadens the available model options.</w:t>
      </w:r>
    </w:p>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1.1 What the Model Must Deliver</w:t>
      </w:r>
    </w:p>
    <w:p>
      <w:pPr>
        <w:pStyle w:val="ListParagraph"/>
        <w:numPr>
          <w:ilvl w:val="0"/>
          <w:numId w:val="2"/>
        </w:numPr>
        <w:spacing w:after="60" w:before="40"/>
      </w:pPr>
      <w:r>
        <w:rPr>
          <w:rFonts w:ascii="Arial" w:cs="Arial" w:eastAsia="Arial" w:hAnsi="Arial"/>
          <w:sz w:val="22"/>
          <w:szCs w:val="22"/>
        </w:rPr>
        <w:t xml:space="preserve">Structured input → natural language output: low creativity, high consistency</w:t>
      </w:r>
    </w:p>
    <w:p>
      <w:pPr>
        <w:pStyle w:val="ListParagraph"/>
        <w:numPr>
          <w:ilvl w:val="0"/>
          <w:numId w:val="2"/>
        </w:numPr>
        <w:spacing w:after="60" w:before="40"/>
      </w:pPr>
      <w:r>
        <w:rPr>
          <w:rFonts w:ascii="Arial" w:cs="Arial" w:eastAsia="Arial" w:hAnsi="Arial"/>
          <w:sz w:val="22"/>
          <w:szCs w:val="22"/>
        </w:rPr>
        <w:t xml:space="preserve">Roughly 500–1,000 token output per explanation</w:t>
      </w:r>
    </w:p>
    <w:p>
      <w:pPr>
        <w:pStyle w:val="ListParagraph"/>
        <w:numPr>
          <w:ilvl w:val="0"/>
          <w:numId w:val="2"/>
        </w:numPr>
        <w:spacing w:after="60" w:before="40"/>
      </w:pPr>
      <w:r>
        <w:rPr>
          <w:rFonts w:ascii="Arial" w:cs="Arial" w:eastAsia="Arial" w:hAnsi="Arial"/>
          <w:sz w:val="22"/>
          <w:szCs w:val="22"/>
        </w:rPr>
        <w:t xml:space="preserve">Fully local execution — no external API calls (mandatory for financial data compliance)</w:t>
      </w:r>
    </w:p>
    <w:p>
      <w:pPr>
        <w:pStyle w:val="ListParagraph"/>
        <w:numPr>
          <w:ilvl w:val="0"/>
          <w:numId w:val="2"/>
        </w:numPr>
        <w:spacing w:after="60" w:before="40"/>
      </w:pPr>
      <w:r>
        <w:rPr>
          <w:rFonts w:ascii="Arial" w:cs="Arial" w:eastAsia="Arial" w:hAnsi="Arial"/>
          <w:sz w:val="22"/>
          <w:szCs w:val="22"/>
        </w:rPr>
        <w:t xml:space="preserve">Runs on a single GPU or capable CPU without specialist infrastructure</w:t>
      </w:r>
    </w:p>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1.2 Recommended Open Source Models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Recommendation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Llama 3.1 8B Instruct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8B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Primary Choice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Best OSS instruction-following at this weight; fast on a single 16GB GPU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Mistral 7B Instruct v0.3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Alternative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Slightly faster; excellent for structured templated output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Phi-4 Mini Instruct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3.8B</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CPU Fallback</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Runs on CPU if no GPU available; good for template-driven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Llama 3.3 70B Instruct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 Quality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Requires multi-GPU or Q4 quantization on 48GB+ VRAM; not recommended for prototype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5B6" w:sz="6"/>
              <w:left w:val="single" w:color="2E75B6" w:sz="6"/>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Prototype Recommendation:</w:t>
            </w:r>
            <w:r>
              <w:rPr>
                <w:rFonts w:ascii="Arial" w:cs="Arial" w:eastAsia="Arial" w:hAnsi="Arial"/>
                <w:sz w:val="22"/>
                <w:szCs w:val="22"/>
              </w:rPr>
              <w:t xml:space="preserve">  Llama 3.1 8B Instruct running via Ollama. One command to run, handles structured prompts reliably, and fits on a single consumer or cloud GPU with 16GB VRAM.</w:t>
            </w:r>
          </w:p>
        </w:tc>
      </w:tr>
    </w:tbl>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1.3 Serving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Prototype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Ollama</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Single command deployment; automatic model management; HTTP API out of the box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vLLM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Continuous batching for higher throughput; PagedAttention for memory efficiency; OpenAI-compatible API</w:t>
            </w:r>
          </w:p>
        </w:tc>
      </w:tr>
    </w:tbl>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1.4 Integration Pattern</w:t>
      </w:r>
    </w:p>
    <w:p>
      <w:pPr>
        <w:spacing w:after="100" w:before="60"/>
      </w:pPr>
      <w:r>
        <w:rPr>
          <w:rFonts w:ascii="Arial" w:cs="Arial" w:eastAsia="Arial" w:hAnsi="Arial"/>
          <w:b w:val="false"/>
          <w:bCs w:val="false"/>
          <w:color w:val="000000"/>
          <w:sz w:val="22"/>
          <w:szCs w:val="22"/>
        </w:rPr>
        <w:t xml:space="preserve">The Explain Consumer service calls the LLM with a structured prompt containing SHAP feature importances, feature values, the risk score, and the decision outcome. The model returns a plain-English explanation which is written into the Audit Record. The LLM is never called synchronously from the Act path under any circumstances.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5B6" w:sz="6"/>
              <w:left w:val="single" w:color="2E75B6" w:sz="6"/>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EU AI Act Note:</w:t>
            </w:r>
            <w:r>
              <w:rPr>
                <w:rFonts w:ascii="Arial" w:cs="Arial" w:eastAsia="Arial" w:hAnsi="Arial"/>
                <w:sz w:val="22"/>
                <w:szCs w:val="22"/>
              </w:rPr>
              <w:t xml:space="preserve">  The LLM output is one component of the audit record. SHAP values and the full feature vector are stored independently — the explanation text is supplementary, not the primary compliance artifact.</w:t>
            </w:r>
          </w:p>
        </w:tc>
      </w:tr>
    </w:tbl>
    <w:p>
      <w:pPr>
        <w:spacing w:after="120" w:before="0"/>
      </w:pPr>
      <w:r>
        <w:t xml:space="preserve"/>
      </w:r>
    </w:p>
    <w:p>
      <w:pPr>
        <w:pageBreakBefore/>
      </w:pPr>
      <w:r>
        <w:br/>
        <w:t xml:space="preserve"/>
      </w:r>
    </w:p>
    <w:p>
      <w:pPr>
        <w:pStyle w:val="Heading1"/>
        <w:pBdr>
          <w:bottom w:val="single" w:color="2E75B6" w:sz="6" w:space="4"/>
        </w:pBdr>
        <w:shd w:fill="1F3864" w:val="clear"/>
        <w:spacing w:after="160" w:before="280"/>
        <w:ind w:left="200" w:right="200"/>
      </w:pPr>
      <w:r>
        <w:rPr>
          <w:rFonts w:ascii="Arial" w:cs="Arial" w:eastAsia="Arial" w:hAnsi="Arial"/>
          <w:b/>
          <w:bCs/>
          <w:color w:val="FFFFFF"/>
          <w:sz w:val="34"/>
          <w:szCs w:val="34"/>
        </w:rPr>
        <w:t xml:space="preserve">2. Transaction Generator</w:t>
      </w:r>
    </w:p>
    <w:p>
      <w:pPr>
        <w:spacing w:after="80" w:before="0"/>
      </w:pPr>
      <w:r>
        <w:t xml:space="preserve"/>
      </w:r>
    </w:p>
    <w:p>
      <w:pPr>
        <w:spacing w:after="100" w:before="60"/>
      </w:pPr>
      <w:r>
        <w:rPr>
          <w:rFonts w:ascii="Arial" w:cs="Arial" w:eastAsia="Arial" w:hAnsi="Arial"/>
          <w:b w:val="false"/>
          <w:bCs w:val="false"/>
          <w:color w:val="000000"/>
          <w:sz w:val="22"/>
          <w:szCs w:val="22"/>
        </w:rPr>
        <w:t xml:space="preserve">For a prototype, a transaction generator is essential. It must produce realistic volume and realistic fraud patterns — these are separate concerns addressed by different components of the generator.</w:t>
      </w:r>
    </w:p>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2.1 Generator Architecture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Profile Store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Holds N synthetic account behavioral profiles in memory; each profile has a spending pattern, typical merchant categories, device fingerprint, and geo-range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Transaction Emitter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Generates events at a configurable TPS with ramp-up support; produces Avro/JSON events matching the live schema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Fraud Injector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Probabilistically injects fraud patterns at a configurable rate (default 2%); each pattern type is independently togglable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Kafka Producer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Writes to tx.raw.hot topic; supports batching and compression for high TPS efficiency</w:t>
            </w:r>
          </w:p>
        </w:tc>
      </w:tr>
    </w:tbl>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2.2 Fraud Pattern Types to Inject</w:t>
      </w:r>
    </w:p>
    <w:p>
      <w:pPr>
        <w:spacing w:after="100" w:before="60"/>
      </w:pPr>
      <w:r>
        <w:rPr>
          <w:rFonts w:ascii="Arial" w:cs="Arial" w:eastAsia="Arial" w:hAnsi="Arial"/>
          <w:b w:val="false"/>
          <w:bCs w:val="false"/>
          <w:color w:val="000000"/>
          <w:sz w:val="22"/>
          <w:szCs w:val="22"/>
        </w:rPr>
        <w:t xml:space="preserve">The generator must cover the primary behavioral fraud archetypes the model will be trained and evaluated against: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Pattern</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Signal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Velocity Attack</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Same account, high transaction frequency in a short window</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Count &gt; threshold in rolling 5-minute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Card Testing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Small-value transactions across many merchants in rapid succession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 amount + high merchant variety + compressed time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Geo-Anomaly</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Transaction location inconsistent with established behavioral geo-range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Distance from centroid of prior 90-day locations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Account Takeover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Device ID change combined with unusual merchant category shift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Device fingerprint delta + category distribution shift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Sleeper Fraud</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Long period of normal behavior followed by a single large anomalous transaction</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Amount z-score spike after extended normal period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Friendly Fraud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Legitimate transaction followed by chargeback; behaviorally indistinct at point of sale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Used primarily for model evaluation, not real-time detection</w:t>
            </w:r>
          </w:p>
        </w:tc>
      </w:tr>
    </w:tbl>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2.3 Recommended OSS Tools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Faker / Mimesis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Synthetic identity and merchant data generation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Names, addresses, merchant names, card numbers, device IDs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Gretel.ai Synthetics (OSS)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Statistically realistic transaction distributions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Generates amount distributions and merchant category patterns from a sample schema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Locust or k6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TPS load patterns and ramp-up profiles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Drive the emitter at configurable TPS; k6 preferred for scripting flexibility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confluent-kafka (Python)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Kafka producer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Handles batching, compression, and delivery guarantees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5B6" w:sz="6"/>
              <w:left w:val="single" w:color="2E75B6" w:sz="6"/>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Prototype Approach:</w:t>
            </w:r>
            <w:r>
              <w:rPr>
                <w:rFonts w:ascii="Arial" w:cs="Arial" w:eastAsia="Arial" w:hAnsi="Arial"/>
                <w:sz w:val="22"/>
                <w:szCs w:val="22"/>
              </w:rPr>
              <w:t xml:space="preserve">  A Python script using Faker + confluent-kafka producer with configurable TPS throttle and fraud injection rate is sufficient for Phase 1. Add Gretel if you need statistically realistic amount distributions rather than uniform random values.</w:t>
            </w:r>
          </w:p>
        </w:tc>
      </w:tr>
    </w:tbl>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2.4 Configurable Parameters</w:t>
      </w:r>
    </w:p>
    <w:p>
      <w:pPr>
        <w:pStyle w:val="ListParagraph"/>
        <w:numPr>
          <w:ilvl w:val="0"/>
          <w:numId w:val="2"/>
        </w:numPr>
        <w:spacing w:after="60" w:before="40"/>
      </w:pPr>
      <w:r>
        <w:rPr>
          <w:rFonts w:ascii="Arial" w:cs="Arial" w:eastAsia="Arial" w:hAnsi="Arial"/>
          <w:sz w:val="22"/>
          <w:szCs w:val="22"/>
        </w:rPr>
        <w:t xml:space="preserve">target_tps: Start at 500; validate the stack; escalate to 5,000</w:t>
      </w:r>
    </w:p>
    <w:p>
      <w:pPr>
        <w:pStyle w:val="ListParagraph"/>
        <w:numPr>
          <w:ilvl w:val="0"/>
          <w:numId w:val="2"/>
        </w:numPr>
        <w:spacing w:after="60" w:before="40"/>
      </w:pPr>
      <w:r>
        <w:rPr>
          <w:rFonts w:ascii="Arial" w:cs="Arial" w:eastAsia="Arial" w:hAnsi="Arial"/>
          <w:sz w:val="22"/>
          <w:szCs w:val="22"/>
        </w:rPr>
        <w:t xml:space="preserve">fraud_rate: Default 2% of transactions; adjust per pattern type</w:t>
      </w:r>
    </w:p>
    <w:p>
      <w:pPr>
        <w:pStyle w:val="ListParagraph"/>
        <w:numPr>
          <w:ilvl w:val="0"/>
          <w:numId w:val="2"/>
        </w:numPr>
        <w:spacing w:after="60" w:before="40"/>
      </w:pPr>
      <w:r>
        <w:rPr>
          <w:rFonts w:ascii="Arial" w:cs="Arial" w:eastAsia="Arial" w:hAnsi="Arial"/>
          <w:sz w:val="22"/>
          <w:szCs w:val="22"/>
        </w:rPr>
        <w:t xml:space="preserve">num_profiles: Number of synthetic accounts (recommend 10,000–50,000 for realistic behavioural diversity)</w:t>
      </w:r>
    </w:p>
    <w:p>
      <w:pPr>
        <w:pStyle w:val="ListParagraph"/>
        <w:numPr>
          <w:ilvl w:val="0"/>
          <w:numId w:val="2"/>
        </w:numPr>
        <w:spacing w:after="60" w:before="40"/>
      </w:pPr>
      <w:r>
        <w:rPr>
          <w:rFonts w:ascii="Arial" w:cs="Arial" w:eastAsia="Arial" w:hAnsi="Arial"/>
          <w:sz w:val="22"/>
          <w:szCs w:val="22"/>
        </w:rPr>
        <w:t xml:space="preserve">window_duration: How long to run the generator per test cycle</w:t>
      </w:r>
    </w:p>
    <w:p>
      <w:pPr>
        <w:pStyle w:val="ListParagraph"/>
        <w:numPr>
          <w:ilvl w:val="0"/>
          <w:numId w:val="2"/>
        </w:numPr>
        <w:spacing w:after="60" w:before="40"/>
      </w:pPr>
      <w:r>
        <w:rPr>
          <w:rFonts w:ascii="Arial" w:cs="Arial" w:eastAsia="Arial" w:hAnsi="Arial"/>
          <w:sz w:val="22"/>
          <w:szCs w:val="22"/>
        </w:rPr>
        <w:t xml:space="preserve">pattern_weights: Relative probability of each fraud pattern type being injected</w:t>
      </w:r>
    </w:p>
    <w:p>
      <w:pPr>
        <w:spacing w:after="120" w:before="0"/>
      </w:pPr>
      <w:r>
        <w:t xml:space="preserve"/>
      </w:r>
    </w:p>
    <w:p>
      <w:pPr>
        <w:pageBreakBefore/>
      </w:pPr>
      <w:r>
        <w:br/>
        <w:t xml:space="preserve"/>
      </w:r>
    </w:p>
    <w:p>
      <w:pPr>
        <w:pStyle w:val="Heading1"/>
        <w:pBdr>
          <w:bottom w:val="single" w:color="2E75B6" w:sz="6" w:space="4"/>
        </w:pBdr>
        <w:shd w:fill="1F3864" w:val="clear"/>
        <w:spacing w:after="160" w:before="280"/>
        <w:ind w:left="200" w:right="200"/>
      </w:pPr>
      <w:r>
        <w:rPr>
          <w:rFonts w:ascii="Arial" w:cs="Arial" w:eastAsia="Arial" w:hAnsi="Arial"/>
          <w:b/>
          <w:bCs/>
          <w:color w:val="FFFFFF"/>
          <w:sz w:val="34"/>
          <w:szCs w:val="34"/>
        </w:rPr>
        <w:t xml:space="preserve">3. Cloud VM Hosting Strategy</w:t>
      </w:r>
    </w:p>
    <w:p>
      <w:pPr>
        <w:spacing w:after="80" w:before="0"/>
      </w:pPr>
      <w:r>
        <w:t xml:space="preserve"/>
      </w:r>
    </w:p>
    <w:p>
      <w:pPr>
        <w:spacing w:after="100" w:before="60"/>
      </w:pPr>
      <w:r>
        <w:rPr>
          <w:rFonts w:ascii="Arial" w:cs="Arial" w:eastAsia="Arial" w:hAnsi="Arial"/>
          <w:b w:val="false"/>
          <w:bCs w:val="false"/>
          <w:color w:val="000000"/>
          <w:sz w:val="22"/>
          <w:szCs w:val="22"/>
        </w:rPr>
        <w:t xml:space="preserve">A cloud VM is the correct starting point for a prototype. A single VM running Docker Compose covers all components without networking complexity. The stack is staged in two phases with a clear promotion criterion between them.</w:t>
      </w:r>
    </w:p>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3.1 Phase 1 — Single VM, Docker Compose</w:t>
      </w:r>
    </w:p>
    <w:p>
      <w:pPr>
        <w:spacing w:after="100" w:before="60"/>
      </w:pPr>
      <w:r>
        <w:rPr>
          <w:rFonts w:ascii="Arial" w:cs="Arial" w:eastAsia="Arial" w:hAnsi="Arial"/>
          <w:b w:val="false"/>
          <w:bCs w:val="false"/>
          <w:color w:val="000000"/>
          <w:sz w:val="22"/>
          <w:szCs w:val="22"/>
        </w:rPr>
        <w:t xml:space="preserve">Run the entire stack on one large VM. All services communicate over Docker's internal network — no external networking to configure.</w:t>
      </w:r>
    </w:p>
    <w:p>
      <w:pPr>
        <w:spacing w:after="60" w:before="0"/>
      </w:pPr>
      <w:r>
        <w:t xml:space="preserve"/>
      </w:r>
    </w:p>
    <w:p>
      <w:pPr>
        <w:pStyle w:val="Heading3"/>
        <w:spacing w:after="60" w:before="160"/>
      </w:pPr>
      <w:r>
        <w:rPr>
          <w:rFonts w:ascii="Arial" w:cs="Arial" w:eastAsia="Arial" w:hAnsi="Arial"/>
          <w:b/>
          <w:bCs/>
          <w:color w:val="2E75B6"/>
          <w:sz w:val="22"/>
          <w:szCs w:val="22"/>
        </w:rPr>
        <w:t xml:space="preserve">Minimum VM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Minimum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Recommended</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 Driver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vCPU</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32</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Flink parallelism + Kafka broker threads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64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128 GB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Redis in-memory store + Flink task manager heap + JVM overhead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Storage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500 GB SSD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1 TB NVMe SSD</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Kafka log retention + RocksDB state + Iceberg lake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GPU (optional)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 (CPU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1x NVIDIA A10G / L4 (16 GB VRAM)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LLM inference speed only — not required for Act path</w:t>
            </w:r>
          </w:p>
        </w:tc>
      </w:tr>
    </w:tbl>
    <w:p>
      <w:pPr>
        <w:spacing w:after="80" w:before="0"/>
      </w:pPr>
      <w:r>
        <w:t xml:space="preserve"/>
      </w:r>
    </w:p>
    <w:p>
      <w:pPr>
        <w:pStyle w:val="Heading3"/>
        <w:spacing w:after="60" w:before="160"/>
      </w:pPr>
      <w:r>
        <w:rPr>
          <w:rFonts w:ascii="Arial" w:cs="Arial" w:eastAsia="Arial" w:hAnsi="Arial"/>
          <w:b/>
          <w:bCs/>
          <w:color w:val="2E75B6"/>
          <w:sz w:val="22"/>
          <w:szCs w:val="22"/>
        </w:rPr>
        <w:t xml:space="preserve">Recommended Instance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1400"/>
        <w:gridCol w:w="3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Cloud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Instance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vCPU</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RAM</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AWS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c6i.8xlarge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32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64 GB</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CPU-heavy; cost-effective for compute-bound workloads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r6i.4xlarge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128 GB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Memory-heavy; if Redis + Flink state is the bottleneck</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GCP</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n2-standard-32</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32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128 GB</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Balanced; easy GPU attachment later via separate instance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Azure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Standard_D32s_v5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128 GB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Straightforward for Azure-first organisations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AWS (GPU)</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g5.xlarge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16 GB + A10G</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Add as a second instance for LLM inference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5B6" w:sz="6"/>
              <w:left w:val="single" w:color="2E75B6" w:sz="6"/>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Cost Note:</w:t>
            </w:r>
            <w:r>
              <w:rPr>
                <w:rFonts w:ascii="Arial" w:cs="Arial" w:eastAsia="Arial" w:hAnsi="Arial"/>
                <w:sz w:val="22"/>
                <w:szCs w:val="22"/>
              </w:rPr>
              <w:t xml:space="preserve">  Use spot/preemptible instances for the prototype — 60–80% cost reduction. Stateful services (Kafka, Redis) should be on a dedicated persistent disk separate from the OS volume; spot interruptions only affect compute, not data.</w:t>
            </w:r>
          </w:p>
        </w:tc>
      </w:tr>
    </w:tbl>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3.2 Phase 2 — Multi-VM or Managed Kubernetes</w:t>
      </w:r>
    </w:p>
    <w:p>
      <w:pPr>
        <w:spacing w:after="100" w:before="60"/>
      </w:pPr>
      <w:r>
        <w:rPr>
          <w:rFonts w:ascii="Arial" w:cs="Arial" w:eastAsia="Arial" w:hAnsi="Arial"/>
          <w:b w:val="false"/>
          <w:bCs w:val="false"/>
          <w:color w:val="000000"/>
          <w:sz w:val="22"/>
          <w:szCs w:val="22"/>
        </w:rPr>
        <w:t xml:space="preserve">Once the prototype is validated end-to-end, split the stack across dedicated VMs or move to a managed Kubernetes service. This is closer to a production topology and begins revealing real failure modes.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VM / Node Group</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Kafka Cluster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3x Kafka brokers + ZooKeeper / KRaft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3 nodes minimum for durability; NVMe disks essential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 Processing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Flink Job Manager + Task Managers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Scale Task Manager count with target TPS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Online Feature Store</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Redis Cluster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3+ nodes; dedicated memory; disable swap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Inference Nodes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ONNX Runtime sidecars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Scale horizontally; optional GPU</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Explain / LLM</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Ollama or vLLM + Explain Consumer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Can share VM with monitoring at prototype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Observability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Prometheus + Grafana + Jaeger + Loki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Dedicated VM avoids resource contention</w:t>
            </w:r>
          </w:p>
        </w:tc>
      </w:tr>
    </w:tbl>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3.3 Critical Configuration Rules</w:t>
      </w:r>
    </w:p>
    <w:p>
      <w:pPr>
        <w:spacing w:after="100" w:before="60"/>
      </w:pPr>
      <w:r>
        <w:rPr>
          <w:rFonts w:ascii="Arial" w:cs="Arial" w:eastAsia="Arial" w:hAnsi="Arial"/>
          <w:b w:val="false"/>
          <w:bCs w:val="false"/>
          <w:color w:val="000000"/>
          <w:sz w:val="22"/>
          <w:szCs w:val="22"/>
        </w:rPr>
        <w:t xml:space="preserve">These apply regardless of cloud provider or VM size: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Keep all VMs in the same availability zone initially</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Cross-AZ latency (1–5ms) will consume your entire P99 headroom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Dedicated data disk, separate from OS disk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Kafka and RocksDB are write-heavy; shared disk I/O is the most common prototype bottleneck</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Disable swap on Flink and Redis nodes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Swapping under memory pressure causes latency spikes that are very difficult to diagnose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 NVMe / local SSD for Kafka log dirs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Kafka sequential writes saturate spinning disks; NVMe is 10–50x faster</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Set Kafka log.retention.hours to 24 for prototype</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Prevents disk exhaustion during load tests; extend to 168h (7 days) for realistic failure recovery testing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Snapshot the VM before each major stack change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Faster to restore than rebuild; treat snapshots as checkpoints</w:t>
            </w:r>
          </w:p>
        </w:tc>
      </w:tr>
    </w:tbl>
    <w:p>
      <w:pPr>
        <w:spacing w:after="8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3.4 Scaling Targets vs. VM Count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900"/>
        <w:gridCol w:w="1600"/>
        <w:gridCol w:w="1900"/>
        <w:gridCol w:w="18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TPS Target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Kafka Partitions</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Flink Parallelism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Redis Nodes</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Inference Nodes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Single VM Viable?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500</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16</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1 (standalone)</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(128 GB RAM)</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5,000</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128</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64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before="0"/>
            </w:pPr>
            <w:r>
              <w:rPr>
                <w:rFonts w:ascii="Arial" w:cs="Arial" w:eastAsia="Arial" w:hAnsi="Arial"/>
                <w:sz w:val="20"/>
                <w:szCs w:val="20"/>
              </w:rPr>
              <w:t xml:space="preserve">No — move to multi-VM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256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 managed K8s recommended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75B6" w:sz="6"/>
              <w:left w:val="single" w:color="2E75B6" w:sz="6"/>
              <w:bottom w:val="single" w:color="CCCCCC" w:sz="1"/>
              <w:right w:val="single" w:color="CCCCCC" w:sz="1"/>
            </w:tcBorders>
            <w:shd w:fill="D6E4F0" w:val="clear"/>
            <w:tcMar>
              <w:top w:type="dxa" w:w="100"/>
              <w:left w:type="dxa" w:w="160"/>
              <w:bottom w:type="dxa" w:w="100"/>
              <w:right w:type="dxa" w:w="160"/>
            </w:tcMar>
          </w:tcPr>
          <w:p>
            <w:pPr>
              <w:spacing w:after="0" w:before="0"/>
            </w:pPr>
            <w:r>
              <w:rPr>
                <w:rFonts w:ascii="Arial" w:cs="Arial" w:eastAsia="Arial" w:hAnsi="Arial"/>
                <w:b/>
                <w:bCs/>
                <w:color w:val="1F3864"/>
                <w:sz w:val="22"/>
                <w:szCs w:val="22"/>
              </w:rPr>
              <w:t xml:space="preserve">Recommended Prototype Start:</w:t>
            </w:r>
            <w:r>
              <w:rPr>
                <w:rFonts w:ascii="Arial" w:cs="Arial" w:eastAsia="Arial" w:hAnsi="Arial"/>
                <w:sz w:val="22"/>
                <w:szCs w:val="22"/>
              </w:rPr>
              <w:t xml:space="preserve">  Single c6i.8xlarge (or equivalent) at 500 TPS. Validate the end-to-end flow and latency budget first. Escalate to 2,000 TPS on the same VM. Move to multi-VM only when validating 5,000+ TPS — that is a pre-production concern, not a prototype one.</w:t>
            </w:r>
          </w:p>
        </w:tc>
      </w:tr>
    </w:tbl>
    <w:p>
      <w:pPr>
        <w:spacing w:after="120" w:before="0"/>
      </w:pPr>
      <w:r>
        <w:t xml:space="preserve"/>
      </w:r>
    </w:p>
    <w:p>
      <w:pPr>
        <w:pageBreakBefore/>
      </w:pPr>
      <w:r>
        <w:br/>
        <w:t xml:space="preserve"/>
      </w:r>
    </w:p>
    <w:p>
      <w:pPr>
        <w:pStyle w:val="Heading1"/>
        <w:pBdr>
          <w:bottom w:val="single" w:color="2E75B6" w:sz="6" w:space="4"/>
        </w:pBdr>
        <w:shd w:fill="1F3864" w:val="clear"/>
        <w:spacing w:after="160" w:before="280"/>
        <w:ind w:left="200" w:right="200"/>
      </w:pPr>
      <w:r>
        <w:rPr>
          <w:rFonts w:ascii="Arial" w:cs="Arial" w:eastAsia="Arial" w:hAnsi="Arial"/>
          <w:b/>
          <w:bCs/>
          <w:color w:val="FFFFFF"/>
          <w:sz w:val="34"/>
          <w:szCs w:val="34"/>
        </w:rPr>
        <w:t xml:space="preserve">4. Prototype Quick-Start Checklist</w:t>
      </w:r>
    </w:p>
    <w:p>
      <w:pPr>
        <w:spacing w:after="80" w:before="0"/>
      </w:pPr>
      <w:r>
        <w:t xml:space="preserve"/>
      </w:r>
    </w:p>
    <w:p>
      <w:pPr>
        <w:spacing w:after="100" w:before="60"/>
      </w:pPr>
      <w:r>
        <w:rPr>
          <w:rFonts w:ascii="Arial" w:cs="Arial" w:eastAsia="Arial" w:hAnsi="Arial"/>
          <w:b w:val="false"/>
          <w:bCs w:val="false"/>
          <w:color w:val="000000"/>
          <w:sz w:val="22"/>
          <w:szCs w:val="22"/>
        </w:rPr>
        <w:t xml:space="preserve">Ordered sequence. Complete each step before proceeding to the next.</w:t>
      </w:r>
    </w:p>
    <w:p>
      <w:pPr>
        <w:spacing w:after="6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Phase 1 — Infrastructure</w:t>
      </w:r>
    </w:p>
    <w:p>
      <w:pPr>
        <w:pStyle w:val="ListParagraph"/>
        <w:numPr>
          <w:ilvl w:val="0"/>
          <w:numId w:val="2"/>
        </w:numPr>
        <w:spacing w:after="60" w:before="40"/>
      </w:pPr>
      <w:r>
        <w:rPr>
          <w:rFonts w:ascii="Arial" w:cs="Arial" w:eastAsia="Arial" w:hAnsi="Arial"/>
          <w:sz w:val="22"/>
          <w:szCs w:val="22"/>
        </w:rPr>
        <w:t xml:space="preserve">Provision a single cloud VM (32 vCPU / 128 GB RAM, NVMe data disk)</w:t>
      </w:r>
    </w:p>
    <w:p>
      <w:pPr>
        <w:pStyle w:val="ListParagraph"/>
        <w:numPr>
          <w:ilvl w:val="0"/>
          <w:numId w:val="2"/>
        </w:numPr>
        <w:spacing w:after="60" w:before="40"/>
      </w:pPr>
      <w:r>
        <w:rPr>
          <w:rFonts w:ascii="Arial" w:cs="Arial" w:eastAsia="Arial" w:hAnsi="Arial"/>
          <w:sz w:val="22"/>
          <w:szCs w:val="22"/>
        </w:rPr>
        <w:t xml:space="preserve">Install Docker Engine + Docker Compose</w:t>
      </w:r>
    </w:p>
    <w:p>
      <w:pPr>
        <w:pStyle w:val="ListParagraph"/>
        <w:numPr>
          <w:ilvl w:val="0"/>
          <w:numId w:val="2"/>
        </w:numPr>
        <w:spacing w:after="60" w:before="40"/>
      </w:pPr>
      <w:r>
        <w:rPr>
          <w:rFonts w:ascii="Arial" w:cs="Arial" w:eastAsia="Arial" w:hAnsi="Arial"/>
          <w:sz w:val="22"/>
          <w:szCs w:val="22"/>
        </w:rPr>
        <w:t xml:space="preserve">Separate OS disk from data disk; mount data disk at /data</w:t>
      </w:r>
    </w:p>
    <w:p>
      <w:pPr>
        <w:pStyle w:val="ListParagraph"/>
        <w:numPr>
          <w:ilvl w:val="0"/>
          <w:numId w:val="2"/>
        </w:numPr>
        <w:spacing w:after="60" w:before="40"/>
      </w:pPr>
      <w:r>
        <w:rPr>
          <w:rFonts w:ascii="Arial" w:cs="Arial" w:eastAsia="Arial" w:hAnsi="Arial"/>
          <w:sz w:val="22"/>
          <w:szCs w:val="22"/>
        </w:rPr>
        <w:t xml:space="preserve">Disable swap (swapoff -a; remove from /etc/fstab)</w:t>
      </w:r>
    </w:p>
    <w:p>
      <w:pPr>
        <w:pStyle w:val="ListParagraph"/>
        <w:numPr>
          <w:ilvl w:val="0"/>
          <w:numId w:val="2"/>
        </w:numPr>
        <w:spacing w:after="60" w:before="40"/>
      </w:pPr>
      <w:r>
        <w:rPr>
          <w:rFonts w:ascii="Arial" w:cs="Arial" w:eastAsia="Arial" w:hAnsi="Arial"/>
          <w:sz w:val="22"/>
          <w:szCs w:val="22"/>
        </w:rPr>
        <w:t xml:space="preserve">Open security group ports: Kafka 9092, Flink UI 8081, Grafana 3000, Redis 6379 (internal only)</w:t>
      </w:r>
    </w:p>
    <w:p>
      <w:pPr>
        <w:spacing w:after="6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Phase 2 — Core Stack</w:t>
      </w:r>
    </w:p>
    <w:p>
      <w:pPr>
        <w:pStyle w:val="ListParagraph"/>
        <w:numPr>
          <w:ilvl w:val="0"/>
          <w:numId w:val="2"/>
        </w:numPr>
        <w:spacing w:after="60" w:before="40"/>
      </w:pPr>
      <w:r>
        <w:rPr>
          <w:rFonts w:ascii="Arial" w:cs="Arial" w:eastAsia="Arial" w:hAnsi="Arial"/>
          <w:sz w:val="22"/>
          <w:szCs w:val="22"/>
        </w:rPr>
        <w:t xml:space="preserve">Deploy Kafka (single broker for prototype) + Schema Registry via Docker Compose</w:t>
      </w:r>
    </w:p>
    <w:p>
      <w:pPr>
        <w:pStyle w:val="ListParagraph"/>
        <w:numPr>
          <w:ilvl w:val="0"/>
          <w:numId w:val="2"/>
        </w:numPr>
        <w:spacing w:after="60" w:before="40"/>
      </w:pPr>
      <w:r>
        <w:rPr>
          <w:rFonts w:ascii="Arial" w:cs="Arial" w:eastAsia="Arial" w:hAnsi="Arial"/>
          <w:sz w:val="22"/>
          <w:szCs w:val="22"/>
        </w:rPr>
        <w:t xml:space="preserve">Deploy Flink (1 Job Manager + 2 Task Managers)</w:t>
      </w:r>
    </w:p>
    <w:p>
      <w:pPr>
        <w:pStyle w:val="ListParagraph"/>
        <w:numPr>
          <w:ilvl w:val="0"/>
          <w:numId w:val="2"/>
        </w:numPr>
        <w:spacing w:after="60" w:before="40"/>
      </w:pPr>
      <w:r>
        <w:rPr>
          <w:rFonts w:ascii="Arial" w:cs="Arial" w:eastAsia="Arial" w:hAnsi="Arial"/>
          <w:sz w:val="22"/>
          <w:szCs w:val="22"/>
        </w:rPr>
        <w:t xml:space="preserve">Deploy Redis (standalone for prototype)</w:t>
      </w:r>
    </w:p>
    <w:p>
      <w:pPr>
        <w:pStyle w:val="ListParagraph"/>
        <w:numPr>
          <w:ilvl w:val="0"/>
          <w:numId w:val="2"/>
        </w:numPr>
        <w:spacing w:after="60" w:before="40"/>
      </w:pPr>
      <w:r>
        <w:rPr>
          <w:rFonts w:ascii="Arial" w:cs="Arial" w:eastAsia="Arial" w:hAnsi="Arial"/>
          <w:sz w:val="22"/>
          <w:szCs w:val="22"/>
        </w:rPr>
        <w:t xml:space="preserve">Verify Kafka topic creation and message flow before adding Flink</w:t>
      </w:r>
    </w:p>
    <w:p>
      <w:pPr>
        <w:spacing w:after="6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Phase 3 — Transaction Generator</w:t>
      </w:r>
    </w:p>
    <w:p>
      <w:pPr>
        <w:pStyle w:val="ListParagraph"/>
        <w:numPr>
          <w:ilvl w:val="0"/>
          <w:numId w:val="2"/>
        </w:numPr>
        <w:spacing w:after="60" w:before="40"/>
      </w:pPr>
      <w:r>
        <w:rPr>
          <w:rFonts w:ascii="Arial" w:cs="Arial" w:eastAsia="Arial" w:hAnsi="Arial"/>
          <w:sz w:val="22"/>
          <w:szCs w:val="22"/>
        </w:rPr>
        <w:t xml:space="preserve">Define Avro schema for the transaction event; register with Schema Registry</w:t>
      </w:r>
    </w:p>
    <w:p>
      <w:pPr>
        <w:pStyle w:val="ListParagraph"/>
        <w:numPr>
          <w:ilvl w:val="0"/>
          <w:numId w:val="2"/>
        </w:numPr>
        <w:spacing w:after="60" w:before="40"/>
      </w:pPr>
      <w:r>
        <w:rPr>
          <w:rFonts w:ascii="Arial" w:cs="Arial" w:eastAsia="Arial" w:hAnsi="Arial"/>
          <w:sz w:val="22"/>
          <w:szCs w:val="22"/>
        </w:rPr>
        <w:t xml:space="preserve">Implement Profile Store with 10,000 synthetic accounts</w:t>
      </w:r>
    </w:p>
    <w:p>
      <w:pPr>
        <w:pStyle w:val="ListParagraph"/>
        <w:numPr>
          <w:ilvl w:val="0"/>
          <w:numId w:val="2"/>
        </w:numPr>
        <w:spacing w:after="60" w:before="40"/>
      </w:pPr>
      <w:r>
        <w:rPr>
          <w:rFonts w:ascii="Arial" w:cs="Arial" w:eastAsia="Arial" w:hAnsi="Arial"/>
          <w:sz w:val="22"/>
          <w:szCs w:val="22"/>
        </w:rPr>
        <w:t xml:space="preserve">Implement Kafka producer emitting at 100 TPS; verify end-to-end receipt</w:t>
      </w:r>
    </w:p>
    <w:p>
      <w:pPr>
        <w:pStyle w:val="ListParagraph"/>
        <w:numPr>
          <w:ilvl w:val="0"/>
          <w:numId w:val="2"/>
        </w:numPr>
        <w:spacing w:after="60" w:before="40"/>
      </w:pPr>
      <w:r>
        <w:rPr>
          <w:rFonts w:ascii="Arial" w:cs="Arial" w:eastAsia="Arial" w:hAnsi="Arial"/>
          <w:sz w:val="22"/>
          <w:szCs w:val="22"/>
        </w:rPr>
        <w:t xml:space="preserve">Enable Fraud Injector at 2% rate; verify pattern distribution in consumer</w:t>
      </w:r>
    </w:p>
    <w:p>
      <w:pPr>
        <w:pStyle w:val="ListParagraph"/>
        <w:numPr>
          <w:ilvl w:val="0"/>
          <w:numId w:val="2"/>
        </w:numPr>
        <w:spacing w:after="60" w:before="40"/>
      </w:pPr>
      <w:r>
        <w:rPr>
          <w:rFonts w:ascii="Arial" w:cs="Arial" w:eastAsia="Arial" w:hAnsi="Arial"/>
          <w:sz w:val="22"/>
          <w:szCs w:val="22"/>
        </w:rPr>
        <w:t xml:space="preserve">Scale to 500 TPS; observe Kafka lag and Flink checkpoint times</w:t>
      </w:r>
    </w:p>
    <w:p>
      <w:pPr>
        <w:spacing w:after="6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Phase 4 — Inference &amp; Feature Store</w:t>
      </w:r>
    </w:p>
    <w:p>
      <w:pPr>
        <w:pStyle w:val="ListParagraph"/>
        <w:numPr>
          <w:ilvl w:val="0"/>
          <w:numId w:val="2"/>
        </w:numPr>
        <w:spacing w:after="60" w:before="40"/>
      </w:pPr>
      <w:r>
        <w:rPr>
          <w:rFonts w:ascii="Arial" w:cs="Arial" w:eastAsia="Arial" w:hAnsi="Arial"/>
          <w:sz w:val="22"/>
          <w:szCs w:val="22"/>
        </w:rPr>
        <w:t xml:space="preserve">Deploy Redis feature store; implement Feature Store Writer consuming from Flink</w:t>
      </w:r>
    </w:p>
    <w:p>
      <w:pPr>
        <w:pStyle w:val="ListParagraph"/>
        <w:numPr>
          <w:ilvl w:val="0"/>
          <w:numId w:val="2"/>
        </w:numPr>
        <w:spacing w:after="60" w:before="40"/>
      </w:pPr>
      <w:r>
        <w:rPr>
          <w:rFonts w:ascii="Arial" w:cs="Arial" w:eastAsia="Arial" w:hAnsi="Arial"/>
          <w:sz w:val="22"/>
          <w:szCs w:val="22"/>
        </w:rPr>
        <w:t xml:space="preserve">Load ONNX model (start with a simple GBT trained on synthetic data if production model not ready)</w:t>
      </w:r>
    </w:p>
    <w:p>
      <w:pPr>
        <w:pStyle w:val="ListParagraph"/>
        <w:numPr>
          <w:ilvl w:val="0"/>
          <w:numId w:val="2"/>
        </w:numPr>
        <w:spacing w:after="60" w:before="40"/>
      </w:pPr>
      <w:r>
        <w:rPr>
          <w:rFonts w:ascii="Arial" w:cs="Arial" w:eastAsia="Arial" w:hAnsi="Arial"/>
          <w:sz w:val="22"/>
          <w:szCs w:val="22"/>
        </w:rPr>
        <w:t xml:space="preserve">Wire inference sidecar; validate feature hydration + scoring per transaction</w:t>
      </w:r>
    </w:p>
    <w:p>
      <w:pPr>
        <w:pStyle w:val="ListParagraph"/>
        <w:numPr>
          <w:ilvl w:val="0"/>
          <w:numId w:val="2"/>
        </w:numPr>
        <w:spacing w:after="60" w:before="40"/>
      </w:pPr>
      <w:r>
        <w:rPr>
          <w:rFonts w:ascii="Arial" w:cs="Arial" w:eastAsia="Arial" w:hAnsi="Arial"/>
          <w:sz w:val="22"/>
          <w:szCs w:val="22"/>
        </w:rPr>
        <w:t xml:space="preserve">Measure end-to-end P99 latency at 500 TPS; compare to budget in Architecture document</w:t>
      </w:r>
    </w:p>
    <w:p>
      <w:pPr>
        <w:spacing w:after="6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Phase 5 — LLM / Explain Path</w:t>
      </w:r>
    </w:p>
    <w:p>
      <w:pPr>
        <w:pStyle w:val="ListParagraph"/>
        <w:numPr>
          <w:ilvl w:val="0"/>
          <w:numId w:val="2"/>
        </w:numPr>
        <w:spacing w:after="60" w:before="40"/>
      </w:pPr>
      <w:r>
        <w:rPr>
          <w:rFonts w:ascii="Arial" w:cs="Arial" w:eastAsia="Arial" w:hAnsi="Arial"/>
          <w:sz w:val="22"/>
          <w:szCs w:val="22"/>
        </w:rPr>
        <w:t xml:space="preserve">Deploy Ollama on the same VM (or a separate GPU instance)</w:t>
      </w:r>
    </w:p>
    <w:p>
      <w:pPr>
        <w:pStyle w:val="ListParagraph"/>
        <w:numPr>
          <w:ilvl w:val="0"/>
          <w:numId w:val="2"/>
        </w:numPr>
        <w:spacing w:after="60" w:before="40"/>
      </w:pPr>
      <w:r>
        <w:rPr>
          <w:rFonts w:ascii="Arial" w:cs="Arial" w:eastAsia="Arial" w:hAnsi="Arial"/>
          <w:sz w:val="22"/>
          <w:szCs w:val="22"/>
        </w:rPr>
        <w:t xml:space="preserve">Pull Llama 3.1 8B Instruct: ollama pull llama3.1:8b</w:t>
      </w:r>
    </w:p>
    <w:p>
      <w:pPr>
        <w:pStyle w:val="ListParagraph"/>
        <w:numPr>
          <w:ilvl w:val="0"/>
          <w:numId w:val="2"/>
        </w:numPr>
        <w:spacing w:after="60" w:before="40"/>
      </w:pPr>
      <w:r>
        <w:rPr>
          <w:rFonts w:ascii="Arial" w:cs="Arial" w:eastAsia="Arial" w:hAnsi="Arial"/>
          <w:sz w:val="22"/>
          <w:szCs w:val="22"/>
        </w:rPr>
        <w:t xml:space="preserve">Implement Explain Consumer: SHAP computation → LLM prompt → Audit Record write</w:t>
      </w:r>
    </w:p>
    <w:p>
      <w:pPr>
        <w:pStyle w:val="ListParagraph"/>
        <w:numPr>
          <w:ilvl w:val="0"/>
          <w:numId w:val="2"/>
        </w:numPr>
        <w:spacing w:after="60" w:before="40"/>
      </w:pPr>
      <w:r>
        <w:rPr>
          <w:rFonts w:ascii="Arial" w:cs="Arial" w:eastAsia="Arial" w:hAnsi="Arial"/>
          <w:sz w:val="22"/>
          <w:szCs w:val="22"/>
        </w:rPr>
        <w:t xml:space="preserve">Validate audit record completeness against EU AI Act checklist in Architecture document</w:t>
      </w:r>
    </w:p>
    <w:p>
      <w:pPr>
        <w:spacing w:after="60" w:before="0"/>
      </w:pPr>
      <w:r>
        <w:t xml:space="preserve"/>
      </w:r>
    </w:p>
    <w:p>
      <w:pPr>
        <w:pStyle w:val="Heading2"/>
        <w:pBdr>
          <w:bottom w:val="single" w:color="2E75B6" w:sz="4" w:space="2"/>
        </w:pBdr>
        <w:spacing w:after="80" w:before="240"/>
      </w:pPr>
      <w:r>
        <w:rPr>
          <w:rFonts w:ascii="Arial" w:cs="Arial" w:eastAsia="Arial" w:hAnsi="Arial"/>
          <w:b/>
          <w:bCs/>
          <w:color w:val="1F3864"/>
          <w:sz w:val="26"/>
          <w:szCs w:val="26"/>
        </w:rPr>
        <w:t xml:space="preserve">Phase 6 — Observability</w:t>
      </w:r>
    </w:p>
    <w:p>
      <w:pPr>
        <w:pStyle w:val="ListParagraph"/>
        <w:numPr>
          <w:ilvl w:val="0"/>
          <w:numId w:val="2"/>
        </w:numPr>
        <w:spacing w:after="60" w:before="40"/>
      </w:pPr>
      <w:r>
        <w:rPr>
          <w:rFonts w:ascii="Arial" w:cs="Arial" w:eastAsia="Arial" w:hAnsi="Arial"/>
          <w:sz w:val="22"/>
          <w:szCs w:val="22"/>
        </w:rPr>
        <w:t xml:space="preserve">Deploy Prometheus + Grafana; configure RED metrics dashboards per stage</w:t>
      </w:r>
    </w:p>
    <w:p>
      <w:pPr>
        <w:pStyle w:val="ListParagraph"/>
        <w:numPr>
          <w:ilvl w:val="0"/>
          <w:numId w:val="2"/>
        </w:numPr>
        <w:spacing w:after="60" w:before="40"/>
      </w:pPr>
      <w:r>
        <w:rPr>
          <w:rFonts w:ascii="Arial" w:cs="Arial" w:eastAsia="Arial" w:hAnsi="Arial"/>
          <w:sz w:val="22"/>
          <w:szCs w:val="22"/>
        </w:rPr>
        <w:t xml:space="preserve">Deploy Jaeger; validate distributed trace spans across all components</w:t>
      </w:r>
    </w:p>
    <w:p>
      <w:pPr>
        <w:pStyle w:val="ListParagraph"/>
        <w:numPr>
          <w:ilvl w:val="0"/>
          <w:numId w:val="2"/>
        </w:numPr>
        <w:spacing w:after="60" w:before="40"/>
      </w:pPr>
      <w:r>
        <w:rPr>
          <w:rFonts w:ascii="Arial" w:cs="Arial" w:eastAsia="Arial" w:hAnsi="Arial"/>
          <w:sz w:val="22"/>
          <w:szCs w:val="22"/>
        </w:rPr>
        <w:t xml:space="preserve">Set SLO alerts: P99 &gt; 25ms = warn; P99 &gt; 30ms = incident</w:t>
      </w:r>
    </w:p>
    <w:p>
      <w:pPr>
        <w:pStyle w:val="ListParagraph"/>
        <w:numPr>
          <w:ilvl w:val="0"/>
          <w:numId w:val="2"/>
        </w:numPr>
        <w:spacing w:after="60" w:before="40"/>
      </w:pPr>
      <w:r>
        <w:rPr>
          <w:rFonts w:ascii="Arial" w:cs="Arial" w:eastAsia="Arial" w:hAnsi="Arial"/>
          <w:sz w:val="22"/>
          <w:szCs w:val="22"/>
        </w:rPr>
        <w:t xml:space="preserve">Run 30-minute load test at 500 TPS; review latency histogram and GC pause impact</w:t>
      </w:r>
    </w:p>
    <w:p>
      <w:pPr>
        <w:spacing w:after="120" w:before="0"/>
      </w:pPr>
      <w:r>
        <w:t xml:space="preserve"/>
      </w:r>
    </w:p>
    <w:p>
      <w:pPr>
        <w:pBdr>
          <w:top w:val="single" w:color="2E75B6" w:sz="4" w:space="6"/>
        </w:pBdr>
        <w:spacing w:after="0" w:before="200"/>
        <w:jc w:val="center"/>
      </w:pPr>
      <w:r>
        <w:rPr>
          <w:rFonts w:ascii="Arial" w:cs="Arial" w:eastAsia="Arial" w:hAnsi="Arial"/>
          <w:color w:val="595959"/>
          <w:sz w:val="18"/>
          <w:szCs w:val="18"/>
        </w:rPr>
        <w:t xml:space="preserve">Document Owner: Lead Application Architect  |  Classification: Internal — Architecture  |  Version 1.0</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pPr>
    <w:r>
      <w:rPr>
        <w:rFonts w:ascii="Arial" w:cs="Arial" w:eastAsia="Arial" w:hAnsi="Arial"/>
        <w:color w:val="595959"/>
        <w:sz w:val="18"/>
        <w:szCs w:val="18"/>
      </w:rPr>
      <w:t xml:space="preserve">Real-Time Behavioral Fraud Detection Engine  |  Prototype Infrastructure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4"/>
      <w:szCs w:val="34"/>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2026-04-14T10:46:35.435Z</dcterms:created>
  <dcterms:modified xsi:type="dcterms:W3CDTF">2026-04-14T10:46:35.436Z</dcterms:modified>
</cp:coreProperties>
</file>

<file path=docProps/custom.xml><?xml version="1.0" encoding="utf-8"?>
<Properties xmlns="http://schemas.openxmlformats.org/officeDocument/2006/custom-properties" xmlns:vt="http://schemas.openxmlformats.org/officeDocument/2006/docPropsVTypes"/>
</file>