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sets out our experimental design in full, but</w:t>
      </w:r>
      <w:r>
        <w:t xml:space="preserve"> </w:t>
      </w:r>
      <w:r>
        <w:rPr>
          <w:bCs/>
          <w:b/>
        </w:rPr>
        <w:t xml:space="preserve">we have not yet run the Cisco Packet Tracer simulation</w:t>
      </w:r>
      <w:r>
        <w:t xml:space="preserve">. Every outcome in Part B is therefore a</w:t>
      </w:r>
      <w:r>
        <w:t xml:space="preserve"> </w:t>
      </w:r>
      <w:r>
        <w:rPr>
          <w:iCs/>
          <w:i/>
        </w:rPr>
        <w:t xml:space="preserve">planned</w:t>
      </w:r>
      <w:r>
        <w:t xml:space="preserve"> </w:t>
      </w:r>
      <w:r>
        <w:t xml:space="preserve">expectation, and every observed-result field is blank. Part C is provisional until we have results to compare with the literature.</w:t>
      </w:r>
    </w:p>
    <w:p>
      <w:pPr>
        <w:pStyle w:val="BodyText"/>
      </w:pPr>
      <w:r>
        <w:rPr>
          <w:bCs/>
          <w:b/>
        </w:rPr>
        <w:t xml:space="preserve">Review notes for the team.</w:t>
      </w:r>
      <w:r>
        <w:t xml:space="preserve"> </w:t>
      </w:r>
      <w:r>
        <w:t xml:space="preserve">Notes in the form [TEAM CHECK: …] mark statements that need our own evidence or judgement before submission. Notes in the form [PLACEHOLDER: …] mark missing details. Both must be resolved or removed before we submit.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Figure 1 is a design drawing of the planned topology, made from our addressing plan. All other figures will be screenshots taken from our own Packet Tracer simulation;</w:t>
      </w:r>
      <w:r>
        <w:t xml:space="preserve"> </w:t>
      </w:r>
      <w:r>
        <w:rPr>
          <w:bCs/>
          <w:b/>
        </w:rPr>
        <w:t xml:space="preserve">none has been captured yet</w:t>
      </w:r>
      <w:r>
        <w:t xml:space="preserve">. Table 10 lists the planned screenshots.</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[TEAM CHECK: the team has not yet run and logged these searches itself. Once</w:t>
      </w:r>
      <w:r>
        <w:t xml:space="preserve"> </w:t>
      </w:r>
      <w:r>
        <w:rPr>
          <w:rStyle w:val="VerbatimChar"/>
        </w:rPr>
        <w:t xml:space="preserve">research/search-log.md</w:t>
      </w:r>
      <w:r>
        <w:t xml:space="preserve"> </w:t>
      </w:r>
      <w:r>
        <w:t xml:space="preserve">is filled in, this sentence can be written as</w:t>
      </w:r>
      <w:r>
        <w:t xml:space="preserve"> </w:t>
      </w:r>
      <w:r>
        <w:t xml:space="preserve">“</w:t>
      </w:r>
      <w:r>
        <w:t xml:space="preserve">we searched</w:t>
      </w:r>
      <w:r>
        <w:t xml:space="preserve">”</w:t>
      </w:r>
      <w:r>
        <w:t xml:space="preserve">, and phrases such as</w:t>
      </w:r>
      <w:r>
        <w:t xml:space="preserve"> </w:t>
      </w:r>
      <w:r>
        <w:t xml:space="preserve">“</w:t>
      </w:r>
      <w:r>
        <w:t xml:space="preserve">the studies we found</w:t>
      </w:r>
      <w:r>
        <w:t xml:space="preserve">”</w:t>
      </w:r>
      <w:r>
        <w:t xml:space="preserve"> </w:t>
      </w:r>
      <w:r>
        <w:t xml:space="preserve">in Sections 2–3 can stand.]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[PLACEHOLDER: confirm these definitions against the full text of [9], [10]; secondary sources agree with them.]</w:t>
      </w:r>
    </w:p>
    <w:p>
      <w:pPr>
        <w:pStyle w:val="BodyText"/>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 [TEAM CHECK: confirm that the team agrees with this inference before submission.]</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 [TEAM CHECK: this is our judgement from the sources, not a measured finding; confirm the wording.]</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The bibliographic details of every entry were checked online during drafting on 2026-10-08 (Appendix B); DOIs or URLs are given only where an authoritative listing showed them. The team has not yet checked the claims against the full texts.</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8"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in this part is a</w:t>
      </w:r>
      <w:r>
        <w:t xml:space="preserve"> </w:t>
      </w:r>
      <w:r>
        <w:rPr>
          <w:bCs/>
          <w:b/>
        </w:rPr>
        <w:t xml:space="preserve">planned expectation</w:t>
      </w:r>
      <w:r>
        <w:t xml:space="preserve">, worked out by tracing packets through the rules by hand. Observed-result cells are blank and will be filled only from our own Packet Tracer runs.</w:t>
      </w:r>
      <w:r>
        <w:t xml:space="preserve"> </w:t>
      </w:r>
      <w:r>
        <w:rPr>
          <w:bCs/>
          <w:b/>
        </w:rPr>
        <w:t xml:space="preserve">Draft scope:</w:t>
      </w:r>
      <w:r>
        <w:t xml:space="preserve"> </w:t>
      </w:r>
      <w:r>
        <w:t xml:space="preserve">we run the same 17 of the 26 designed test cases in every stage; the other nine are marked</w:t>
      </w:r>
      <w:r>
        <w:t xml:space="preserve"> </w:t>
      </w:r>
      <w:r>
        <w:rPr>
          <w:iCs/>
          <w:i/>
        </w:rPr>
        <w:t xml:space="preserve">not run</w:t>
      </w:r>
      <w:r>
        <w:t xml:space="preserve">. [PLACEHOLDER: Packet Tracer version used by all members.]</w:t>
      </w:r>
    </w:p>
    <w:bookmarkStart w:id="34"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34"/>
    <w:bookmarkStart w:id="35"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35"/>
    <w:bookmarkStart w:id="36"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40"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Planned network topology and enforcement points (AP1–AP7). Design drawing made from our addressing plan; the Packet Tracer screenshot (F01) will be added after the build." title="" id="38" name="Picture"/>
            <a:graphic>
              <a:graphicData uri="http://schemas.openxmlformats.org/drawingml/2006/picture">
                <pic:pic>
                  <pic:nvPicPr>
                    <pic:cNvPr descr="../figures/design-topology.png" id="39" name="Picture"/>
                    <pic:cNvPicPr>
                      <a:picLocks noChangeArrowheads="1" noChangeAspect="1"/>
                    </pic:cNvPicPr>
                  </pic:nvPicPr>
                  <pic:blipFill>
                    <a:blip r:embed="rId37"/>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Planned network topology and enforcement points (AP1–AP7). Design drawing made from our addressing plan; the Packet Tracer screenshot (F01) will be added after the build.</w:t>
      </w:r>
    </w:p>
    <w:p>
      <w:pPr>
        <w:pStyle w:val="BodyText"/>
      </w:pPr>
      <w:r>
        <w:t xml:space="preserve">[PLACEHOLDER: Figure F01, topology screenshot from our Packet Tracer file.]</w:t>
      </w:r>
    </w:p>
    <w:bookmarkEnd w:id="40"/>
    <w:bookmarkStart w:id="41"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Pilot.</w:t>
      </w:r>
      <w:r>
        <w:t xml:space="preserve"> </w:t>
      </w:r>
      <w:r>
        <w:t xml:space="preserve">Before Stage 1, a pilot checks the Packet Tracer behaviours our design relies on. The full plan has nine steps (P1–P9). For this draft we run the three that the stage tests cannot cover on their own:</w:t>
      </w:r>
      <w:r>
        <w:t xml:space="preserve"> </w:t>
      </w:r>
      <w:r>
        <w:rPr>
          <w:bCs/>
          <w:b/>
        </w:rPr>
        <w:t xml:space="preserve">P3</w:t>
      </w:r>
      <w:r>
        <w:t xml:space="preserve"> </w:t>
      </w:r>
      <w:r>
        <w:t xml:space="preserve">(whether</w:t>
      </w:r>
      <w:r>
        <w:t xml:space="preserve"> </w:t>
      </w:r>
      <w:r>
        <w:rPr>
          <w:rStyle w:val="VerbatimChar"/>
        </w:rPr>
        <w:t xml:space="preserve">show access-lists</w:t>
      </w:r>
      <w:r>
        <w:t xml:space="preserve"> </w:t>
      </w:r>
      <w:r>
        <w:t xml:space="preserve">match counters work, which we need as evidence of denials),</w:t>
      </w:r>
      <w:r>
        <w:t xml:space="preserve"> </w:t>
      </w:r>
      <w:r>
        <w:rPr>
          <w:bCs/>
          <w:b/>
        </w:rPr>
        <w:t xml:space="preserve">P7</w:t>
      </w:r>
      <w:r>
        <w:t xml:space="preserve"> </w:t>
      </w:r>
      <w:r>
        <w:t xml:space="preserve">(whether FTP works through a rule that allows only port 21) and</w:t>
      </w:r>
      <w:r>
        <w:t xml:space="preserve"> </w:t>
      </w:r>
      <w:r>
        <w:rPr>
          <w:bCs/>
          <w:b/>
        </w:rPr>
        <w:t xml:space="preserve">P8</w:t>
      </w:r>
      <w:r>
        <w:t xml:space="preserve"> </w:t>
      </w:r>
      <w:r>
        <w:t xml:space="preserve">(whether SSH and VTY</w:t>
      </w:r>
      <w:r>
        <w:t xml:space="preserve"> </w:t>
      </w:r>
      <w:r>
        <w:rPr>
          <w:rStyle w:val="VerbatimChar"/>
        </w:rPr>
        <w:t xml:space="preserve">access-class</w:t>
      </w:r>
      <w:r>
        <w:t xml:space="preserve"> </w:t>
      </w:r>
      <w:r>
        <w:t xml:space="preserve">behave as expected, including on alternate router addresses). The other six are not run for this draft.</w:t>
      </w:r>
    </w:p>
    <w:p>
      <w:pPr>
        <w:pStyle w:val="BodyText"/>
      </w:pPr>
      <w:r>
        <w:t xml:space="preserve">[PLACEHOLDER: Stage 0 results (Table 7, column Obs. S0) and the outcomes of pilot steps P3, P7 and P8,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41"/>
    <w:bookmarkStart w:id="42"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not Packet Tracer observations. Measured values will be recomputed from the saved running configurations.)</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 (pending pilot P7).</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 If an entry is added, T04, T08 and T16 will be re-run to show that it does not open FTP to anyone else.</w:t>
      </w:r>
    </w:p>
    <w:bookmarkEnd w:id="42"/>
    <w:bookmarkStart w:id="43"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draft,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jc w:val="left"/>
            </w:pPr>
            <w:r>
              <w:t xml:space="preserve">not run</w:t>
            </w:r>
          </w:p>
        </w:tc>
        <w:tc>
          <w:tcPr/>
          <w:p>
            <w:pPr>
              <w:pStyle w:val="Compact"/>
              <w:jc w:val="left"/>
            </w:pPr>
            <w:r>
              <w:t xml:space="preserve">outside the 17-test draft scope; no result</w:t>
            </w:r>
          </w:p>
        </w:tc>
      </w:tr>
    </w:tbl>
    <w:p>
      <w:pPr>
        <w:pStyle w:val="BodyText"/>
        <w:spacing w:before="160"/>
      </w:pPr>
      <w:r>
        <w:t xml:space="preserve">Stage 0 is planned as A for every test case. Observed cells for the 17 test cases run are blank until Packet Tracer has been run; the nine test cases outside the draft scope are marked</w:t>
      </w:r>
      <w:r>
        <w:t xml:space="preserve"> </w:t>
      </w:r>
      <w:r>
        <w:rPr>
          <w:iCs/>
          <w:i/>
        </w:rPr>
        <w:t xml:space="preserve">not run</w:t>
      </w:r>
      <w:r>
        <w:t xml:space="preserv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bookmarkEnd w:id="43"/>
    <w:bookmarkStart w:id="44" w:name="Xa247a0f7f7bb1e1d5af4c67e6a739ffb32fbd37"/>
    <w:p>
      <w:pPr>
        <w:pStyle w:val="Heading2"/>
      </w:pPr>
      <w:r>
        <w:t xml:space="preserve">B8. Controlled Misconfiguration Experiments</w:t>
      </w:r>
    </w:p>
    <w:p>
      <w:pPr>
        <w:pStyle w:val="FirstParagraph"/>
      </w:pPr>
      <w:r>
        <w:t xml:space="preserve">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 [TEAM CHECK: decide whether M1 and M2 will be run for this draft; if not, mark their Observed cells</w:t>
      </w:r>
      <w:r>
        <w:t xml:space="preserve"> </w:t>
      </w:r>
      <w:r>
        <w:t xml:space="preserve">“</w:t>
      </w:r>
      <w:r>
        <w:t xml:space="preserve">not run</w:t>
      </w:r>
      <w:r>
        <w:t xml:space="preserve">”</w:t>
      </w:r>
      <w:r>
        <w:t xml:space="preserve">.]</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4"/>
    <w:bookmarkStart w:id="45"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success</w:t>
            </w:r>
          </w:p>
        </w:tc>
        <w:tc>
          <w:tcPr/>
          <w:p>
            <w:pPr>
              <w:pStyle w:val="Compact"/>
              <w:keepNext/>
              <w:jc w:val="left"/>
            </w:pPr>
            <w:r>
              <w:t xml:space="preserve">8/8, 8/8, 8/8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Leakage</w:t>
            </w:r>
          </w:p>
        </w:tc>
        <w:tc>
          <w:tcPr/>
          <w:p>
            <w:pPr>
              <w:pStyle w:val="Compact"/>
              <w:keepNext/>
              <w:jc w:val="left"/>
            </w:pPr>
            <w:r>
              <w:t xml:space="preserve">7/8, 4/8, 0/8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 (relative to the 17 tests run)</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 (added / removed)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bl>
    <w:p>
      <w:pPr>
        <w:pStyle w:val="BodyText"/>
        <w:spacing w:before="160"/>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t xml:space="preserve">[PLACEHOLDER: comparison chart (Figure F19), drawn from the measured columns only.]</w:t>
      </w:r>
    </w:p>
    <w:p>
      <w:pPr>
        <w:pStyle w:val="BodyText"/>
      </w:pPr>
      <w:r>
        <w:t xml:space="preserve">[PLACEHOLDER: discussion of results, to be written after measurement. Assess E1–E4 as supported, partly supported or not supported, using only observed data.]</w:t>
      </w:r>
    </w:p>
    <w:bookmarkEnd w:id="45"/>
    <w:bookmarkStart w:id="46" w:name="b10.-evidence-plan"/>
    <w:p>
      <w:pPr>
        <w:pStyle w:val="Heading2"/>
      </w:pPr>
      <w:r>
        <w:t xml:space="preserve">B10. Evidence Plan</w:t>
      </w:r>
    </w:p>
    <w:p>
      <w:pPr>
        <w:pStyle w:val="FirstParagraph"/>
        <w:keepNext/>
      </w:pPr>
      <w:r>
        <w:rPr>
          <w:bCs/>
          <w:b/>
        </w:rPr>
        <w:t xml:space="preserve">Table 10. Screenshot plan.</w:t>
      </w:r>
      <w:r>
        <w:t xml:space="preserve"> </w:t>
      </w:r>
      <w:r>
        <w:t xml:space="preserve">Every screenshot will come from our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rPr>
                <w:b/>
              </w:rPr>
              <w:t xml:space="preserve">Fig.</w:t>
            </w:r>
          </w:p>
        </w:tc>
        <w:tc>
          <w:tcPr/>
          <w:p>
            <w:pPr>
              <w:pStyle w:val="Compact"/>
              <w:keepNext/>
              <w:jc w:val="left"/>
            </w:pPr>
            <w:r>
              <w:rPr>
                <w:b/>
              </w:rPr>
              <w:t xml:space="preserve">Content</w:t>
            </w:r>
          </w:p>
        </w:tc>
        <w:tc>
          <w:tcPr/>
          <w:p>
            <w:pPr>
              <w:pStyle w:val="Compact"/>
              <w:keepNext/>
              <w:jc w:val="left"/>
            </w:pPr>
            <w:r>
              <w:rPr>
                <w:b/>
              </w:rP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the 17 test cases run</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bookmarkEnd w:id="46"/>
    <w:bookmarkStart w:id="47" w:name="b11.-conclusion-of-the-case-study"/>
    <w:p>
      <w:pPr>
        <w:pStyle w:val="Heading2"/>
      </w:pPr>
      <w:r>
        <w:t xml:space="preserve">B11. Conclusion of the Case Study</w:t>
      </w:r>
    </w:p>
    <w:p>
      <w:pPr>
        <w:pStyle w:val="FirstParagraph"/>
      </w:pPr>
      <w:r>
        <w:rPr>
          <w:bCs/>
          <w:b/>
        </w:rPr>
        <w:t xml:space="preserve">What is complete.</w:t>
      </w:r>
      <w:r>
        <w:t xml:space="preserve"> </w:t>
      </w:r>
      <w:r>
        <w:t xml:space="preserve">The case study is fully designed. We have a 19-device network plan, a written list of eight required and seven forbidden flows, three policy stages applied at the same seven enforcement points, 26 designed test cases (17 to be run in this draft), two controlled misconfiguration experiments, and metric definitions fixed before any measurement. The configuration-derived figures in Table 6 already show the cost side of the trade-off we set out to study: from Stage 1 to Stage 3, explicit entries rise from 11 to 40 and order-dependent pairs from 0 to 24, while the edge ACL becomes shorter but stricter.</w:t>
      </w:r>
    </w:p>
    <w:p>
      <w:pPr>
        <w:pStyle w:val="BodyText"/>
      </w:pPr>
      <w:r>
        <w:rPr>
          <w:bCs/>
          <w:b/>
        </w:rPr>
        <w:t xml:space="preserve">What remains.</w:t>
      </w:r>
      <w:r>
        <w:t xml:space="preserve"> </w:t>
      </w:r>
      <w:r>
        <w:t xml:space="preserve">The security side (how much unnecessary access each stage actually leaves) can only come from running the tests in Packet Tracer. Until then, E1–E4 in B1 remain expectations. [PLACEHOLDER: after the runs, state in three or four sentences whether E1–E4 were supported, partly supported or not supported, citing Table 7 and Table 9.]</w:t>
      </w:r>
    </w:p>
    <w:p>
      <w:pPr>
        <w:pStyle w:val="BodyText"/>
      </w:pPr>
      <w:r>
        <w:rPr>
          <w:bCs/>
          <w:b/>
        </w:rPr>
        <w:t xml:space="preserve">Lesson so far.</w:t>
      </w:r>
      <w:r>
        <w:t xml:space="preserve"> </w:t>
      </w:r>
      <w:r>
        <w:t xml:space="preserve">Writing the required and forbidden flows down first was what made the comparison possible: without Table 2 there would be no fixed definition of</w:t>
      </w:r>
      <w:r>
        <w:t xml:space="preserve"> </w:t>
      </w:r>
      <w:r>
        <w:t xml:space="preserve">“</w:t>
      </w:r>
      <w:r>
        <w:t xml:space="preserve">unnecessary</w:t>
      </w:r>
      <w:r>
        <w:t xml:space="preserve">”</w:t>
      </w:r>
      <w:r>
        <w:t xml:space="preserve"> </w:t>
      </w:r>
      <w:r>
        <w:t xml:space="preserve">access to measure each stage against.</w:t>
      </w:r>
    </w:p>
    <w:p>
      <w:r>
        <w:br w:type="page"/>
      </w:r>
    </w:p>
    <w:bookmarkEnd w:id="47"/>
    <w:bookmarkEnd w:id="48"/>
    <w:bookmarkStart w:id="49" w:name="X6f293ca93e6b1c028848361a6efc65d7760ed14"/>
    <w:p>
      <w:pPr>
        <w:pStyle w:val="Heading1"/>
      </w:pPr>
      <w:r>
        <w:t xml:space="preserve">PART C — Alignment and Limitations Note (provisional)</w:t>
      </w:r>
    </w:p>
    <w:p>
      <w:pPr>
        <w:pStyle w:val="FirstParagraph"/>
      </w:pPr>
      <w:r>
        <w:rPr>
          <w:iCs/>
          <w:i/>
        </w:rPr>
        <w:t xml:space="preserve">This note is provisional because we have no Packet Tracer results yet. It separates what the literature supports, what the experiment is planned to show, and the known limits of our design. We will rewrite it from measured results.</w:t>
      </w:r>
    </w:p>
    <w:p>
      <w:pPr>
        <w:pStyle w:val="BodyText"/>
      </w:pPr>
      <w:r>
        <w:rPr>
          <w:bCs/>
          <w:b/>
        </w:rPr>
        <w:t xml:space="preserve">C.1 Comparison with the literature (planned, not observed).</w:t>
      </w:r>
      <w:r>
        <w:t xml:space="preserve"> </w:t>
      </w:r>
      <w:r>
        <w:t xml:space="preserve">The experiment is designed to test four positions from Part A: that traffic should be denied by default and permitted only where needed [3], [5]; that rule order is the source of anomalies [9]–[11]; that complexity is associated with configuration risk [2]; and that location-based trust is insufficient [4]. Table 11 shows how each planned observation would relate to the literature</w:t>
      </w:r>
      <w:r>
        <w:t xml:space="preserve"> </w:t>
      </w:r>
      <w:r>
        <w:rPr>
          <w:iCs/>
          <w:i/>
        </w:rPr>
        <w:t xml:space="preserve">if</w:t>
      </w:r>
      <w:r>
        <w:t xml:space="preserve"> </w:t>
      </w:r>
      <w:r>
        <w:t xml:space="preserve">it is borne out.</w:t>
      </w:r>
    </w:p>
    <w:p>
      <w:pPr>
        <w:pStyle w:val="BodyText"/>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Planned observation (not yet measured)</w:t>
            </w:r>
          </w:p>
        </w:tc>
        <w:tc>
          <w:tcPr/>
          <w:p>
            <w:pPr>
              <w:pStyle w:val="Compact"/>
              <w:keepNext/>
              <w:jc w:val="left"/>
            </w:pPr>
            <w:r>
              <w:rPr>
                <w:b/>
              </w:rPr>
              <w:t xml:space="preserve">Literature</w:t>
            </w:r>
          </w:p>
        </w:tc>
        <w:tc>
          <w:tcPr/>
          <w:p>
            <w:pPr>
              <w:pStyle w:val="Compact"/>
              <w:keepNext/>
              <w:jc w:val="left"/>
            </w:pPr>
            <w:r>
              <w:rPr>
                <w:b/>
              </w:rPr>
              <w:t xml:space="preserve">Expected relation</w:t>
            </w:r>
          </w:p>
        </w:tc>
      </w:tr>
      <w:tr>
        <w:trPr>
          <w:cantSplit/>
        </w:trPr>
        <w:tc>
          <w:tcPr/>
          <w:p>
            <w:pPr>
              <w:pStyle w:val="Compact"/>
              <w:keepNext/>
              <w:jc w:val="left"/>
            </w:pPr>
            <w:r>
              <w:t xml:space="preserve">Forbidden test cases permitted (of 8 run): 7 → 4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Edge-ACL entries 7 → 7 → 5 (Stage 1 → 2 → 3) while the edge becomes stricter in Stage 3</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appended deny shows 0 matches (shadowed per configuration analysis)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how FTP behaves is still pending pilot P7.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Finally, we run only 17 of the 26 designed test cases, so the Sales exposure metric is not measured, zero-hit counts reflect only the tests run, and R5, X6 and X7 are covered only in part (B7).</w:t>
      </w:r>
    </w:p>
    <w:p>
      <w:r>
        <w:br w:type="page"/>
      </w:r>
    </w:p>
    <w:bookmarkEnd w:id="49"/>
    <w:bookmarkStart w:id="50" w:name="individual-contribution-statement"/>
    <w:p>
      <w:pPr>
        <w:pStyle w:val="Heading1"/>
      </w:pPr>
      <w:r>
        <w:t xml:space="preserve">Individual Contribution Statement</w:t>
      </w:r>
    </w:p>
    <w:p>
      <w:pPr>
        <w:pStyle w:val="FirstParagraph"/>
      </w:pPr>
      <w:r>
        <w:t xml:space="preserve">All five members worked on one integrated project; nobody owned a separate topic. Each member led one functional area and reviewed another member’s work. Shared by everyone: rebuilding Stage 0 independently, reading the core sources, writing critical-analysis notes and a mock viva.</w:t>
      </w:r>
    </w:p>
    <w:p>
      <w:pPr>
        <w:pStyle w:val="BodyText"/>
        <w:keepNext/>
      </w:pPr>
      <w:r>
        <w:t xml:space="preserve">Names and registration numbers are left blank for the team to fill in. [TEAM CHECK: each member must check that their row describes what they actually did by the submission date, edit it if not, and only then sign. Work listed here that has not happened yet must be removed or changed.]</w:t>
      </w:r>
    </w:p>
    <w:tbl>
      <w:tblPr>
        <w:tblStyle w:val="Table"/>
        <w:tblW w:type="pct" w:w="5000"/>
        <w:jc w:val="left"/>
        <w:tblLook w:firstRow="1" w:lastRow="0" w:firstColumn="0" w:lastColumn="0" w:noHBand="0" w:noVBand="0" w:val="0020"/>
      </w:tblPr>
      <w:tblGrid>
        <w:gridCol w:w="889"/>
        <w:gridCol w:w="800"/>
        <w:gridCol w:w="1067"/>
        <w:gridCol w:w="2313"/>
        <w:gridCol w:w="1423"/>
        <w:gridCol w:w="889"/>
        <w:gridCol w:w="533"/>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Role</w:t>
            </w:r>
          </w:p>
        </w:tc>
        <w:tc>
          <w:tcPr/>
          <w:p>
            <w:pPr>
              <w:pStyle w:val="Compact"/>
              <w:keepNext/>
              <w:jc w:val="left"/>
            </w:pPr>
            <w:r>
              <w:rPr>
                <w:b/>
              </w:rPr>
              <w:t xml:space="preserve">Main contributions</w:t>
            </w:r>
          </w:p>
        </w:tc>
        <w:tc>
          <w:tcPr/>
          <w:p>
            <w:pPr>
              <w:pStyle w:val="Compact"/>
              <w:keepNext/>
              <w:jc w:val="left"/>
            </w:pPr>
            <w:r>
              <w:rPr>
                <w:b/>
              </w:rPr>
              <w:t xml:space="preserve">Reviewed / verified</w:t>
            </w:r>
          </w:p>
        </w:tc>
        <w:tc>
          <w:tcPr/>
          <w:p>
            <w:pPr>
              <w:pStyle w:val="Compact"/>
              <w:keepNext/>
              <w:jc w:val="left"/>
            </w:pPr>
            <w:r>
              <w:rPr>
                <w:b/>
              </w:rPr>
              <w:t xml:space="preserve">Viva</w:t>
            </w:r>
          </w:p>
        </w:tc>
        <w:tc>
          <w:tcPr/>
          <w:p>
            <w:pPr>
              <w:pStyle w:val="Compact"/>
              <w:keepNext/>
              <w:jc w:val="left"/>
            </w:pPr>
            <w:r>
              <w:rPr>
                <w:b/>
              </w:rPr>
              <w:t xml:space="preserve">Sign</w:t>
            </w: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Network build</w:t>
            </w:r>
          </w:p>
        </w:tc>
        <w:tc>
          <w:tcPr/>
          <w:p>
            <w:pPr>
              <w:pStyle w:val="Compact"/>
              <w:keepNext/>
              <w:jc w:val="left"/>
            </w:pPr>
            <w:r>
              <w:t xml:space="preserve">Topology and addressing plan; Stage 0 build in Packet Tracer; applying the Stage 1–3 scripts; saving running configurations; pilot steps P3, P7, P8</w:t>
            </w:r>
          </w:p>
        </w:tc>
        <w:tc>
          <w:tcPr/>
          <w:p>
            <w:pPr>
              <w:pStyle w:val="Compact"/>
              <w:keepNext/>
              <w:jc w:val="left"/>
            </w:pPr>
            <w:r>
              <w:t xml:space="preserve">Test matrix expectations against the configurations (with Member 2)</w:t>
            </w:r>
          </w:p>
        </w:tc>
        <w:tc>
          <w:tcPr/>
          <w:p>
            <w:pPr>
              <w:pStyle w:val="Compact"/>
              <w:keepNext/>
              <w:jc w:val="left"/>
            </w:pPr>
            <w:r>
              <w:t xml:space="preserve">B4–B6</w:t>
            </w:r>
          </w:p>
        </w:tc>
        <w:tc>
          <w:tcPr/>
          <w:p>
            <w:pPr>
              <w:pStyle w:val="Compact"/>
              <w:keepNext/>
            </w:pP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Testing and evidence</w:t>
            </w:r>
          </w:p>
        </w:tc>
        <w:tc>
          <w:tcPr/>
          <w:p>
            <w:pPr>
              <w:pStyle w:val="Compact"/>
              <w:keepNext/>
              <w:jc w:val="left"/>
            </w:pPr>
            <w:r>
              <w:t xml:space="preserve">Test matrix and pass/fail criteria; running the 17 tests in Stages 0–3; results table; screenshots F01–F19</w:t>
            </w:r>
          </w:p>
        </w:tc>
        <w:tc>
          <w:tcPr/>
          <w:p>
            <w:pPr>
              <w:pStyle w:val="Compact"/>
              <w:keepNext/>
              <w:jc w:val="left"/>
            </w:pPr>
            <w:r>
              <w:t xml:space="preserve">Stage scripts against the requirements (with Member 1)</w:t>
            </w:r>
          </w:p>
        </w:tc>
        <w:tc>
          <w:tcPr/>
          <w:p>
            <w:pPr>
              <w:pStyle w:val="Compact"/>
              <w:keepNext/>
              <w:jc w:val="left"/>
            </w:pPr>
            <w:r>
              <w:t xml:space="preserve">B7, B9</w:t>
            </w:r>
          </w:p>
        </w:tc>
        <w:tc>
          <w:tcPr/>
          <w:p>
            <w:pPr>
              <w:pStyle w:val="Compact"/>
              <w:keepNext/>
            </w:pP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Literature</w:t>
            </w:r>
          </w:p>
        </w:tc>
        <w:tc>
          <w:tcPr/>
          <w:p>
            <w:pPr>
              <w:pStyle w:val="Compact"/>
              <w:keepNext/>
              <w:jc w:val="left"/>
            </w:pPr>
            <w:r>
              <w:t xml:space="preserve">Literature search; Part A Sections 1–4 in own words; comparison table (Table 1)</w:t>
            </w:r>
          </w:p>
        </w:tc>
        <w:tc>
          <w:tcPr/>
          <w:p>
            <w:pPr>
              <w:pStyle w:val="Compact"/>
              <w:keepNext/>
              <w:jc w:val="left"/>
            </w:pPr>
            <w:r>
              <w:t xml:space="preserve">Reference claims for [1], [2], [9]–[13]</w:t>
            </w:r>
          </w:p>
        </w:tc>
        <w:tc>
          <w:tcPr/>
          <w:p>
            <w:pPr>
              <w:pStyle w:val="Compact"/>
              <w:keepNext/>
              <w:jc w:val="left"/>
            </w:pPr>
            <w:r>
              <w:t xml:space="preserve">Part A</w:t>
            </w:r>
          </w:p>
        </w:tc>
        <w:tc>
          <w:tcPr/>
          <w:p>
            <w:pPr>
              <w:pStyle w:val="Compact"/>
              <w:keepNext/>
            </w:pPr>
          </w:p>
        </w:tc>
      </w:tr>
      <w:tr>
        <w:trPr>
          <w:cantSplit/>
        </w:trPr>
        <w:tc>
          <w:tcPr/>
          <w:p>
            <w:pPr>
              <w:pStyle w:val="Compact"/>
              <w:keepNext/>
              <w:jc w:val="left"/>
            </w:pPr>
            <w:r>
              <w:t xml:space="preserve">[Name]</w:t>
            </w:r>
          </w:p>
        </w:tc>
        <w:tc>
          <w:tcPr/>
          <w:p>
            <w:pPr>
              <w:pStyle w:val="Compact"/>
              <w:keepNext/>
              <w:jc w:val="left"/>
            </w:pPr>
            <w:r>
              <w:t xml:space="preserve">[Reg. no.]</w:t>
            </w:r>
          </w:p>
        </w:tc>
        <w:tc>
          <w:tcPr/>
          <w:p>
            <w:pPr>
              <w:pStyle w:val="Compact"/>
              <w:keepNext/>
              <w:jc w:val="left"/>
            </w:pPr>
            <w:r>
              <w:t xml:space="preserve">Citations and standards</w:t>
            </w:r>
          </w:p>
        </w:tc>
        <w:tc>
          <w:tcPr/>
          <w:p>
            <w:pPr>
              <w:pStyle w:val="Compact"/>
              <w:keepNext/>
              <w:jc w:val="left"/>
            </w:pPr>
            <w:r>
              <w:t xml:space="preserve">Reference list and verification record (Appendix B); standards sections ([3]–[7], [15], [16]); Stage 1 terminology check</w:t>
            </w:r>
          </w:p>
        </w:tc>
        <w:tc>
          <w:tcPr/>
          <w:p>
            <w:pPr>
              <w:pStyle w:val="Compact"/>
              <w:keepNext/>
              <w:jc w:val="left"/>
            </w:pPr>
            <w:r>
              <w:t xml:space="preserve">Citations in Parts A–C; full-text checks</w:t>
            </w:r>
          </w:p>
        </w:tc>
        <w:tc>
          <w:tcPr/>
          <w:p>
            <w:pPr>
              <w:pStyle w:val="Compact"/>
              <w:keepNext/>
              <w:jc w:val="left"/>
            </w:pPr>
            <w:r>
              <w:t xml:space="preserve">References, Part A §2.1, §2.4</w:t>
            </w:r>
          </w:p>
        </w:tc>
        <w:tc>
          <w:tcPr/>
          <w:p>
            <w:pPr>
              <w:pStyle w:val="Compact"/>
              <w:keepNext/>
            </w:pPr>
          </w:p>
        </w:tc>
      </w:tr>
      <w:tr>
        <w:trPr>
          <w:cantSplit/>
        </w:trPr>
        <w:tc>
          <w:tcPr/>
          <w:p>
            <w:pPr>
              <w:pStyle w:val="Compact"/>
              <w:jc w:val="left"/>
            </w:pPr>
            <w:r>
              <w:t xml:space="preserve">[Name]</w:t>
            </w:r>
          </w:p>
        </w:tc>
        <w:tc>
          <w:tcPr/>
          <w:p>
            <w:pPr>
              <w:pStyle w:val="Compact"/>
              <w:jc w:val="left"/>
            </w:pPr>
            <w:r>
              <w:t xml:space="preserve">[Reg. no.]</w:t>
            </w:r>
          </w:p>
        </w:tc>
        <w:tc>
          <w:tcPr/>
          <w:p>
            <w:pPr>
              <w:pStyle w:val="Compact"/>
              <w:jc w:val="left"/>
            </w:pPr>
            <w:r>
              <w:t xml:space="preserve">Integration and QC</w:t>
            </w:r>
          </w:p>
        </w:tc>
        <w:tc>
          <w:tcPr/>
          <w:p>
            <w:pPr>
              <w:pStyle w:val="Compact"/>
              <w:jc w:val="left"/>
            </w:pPr>
            <w:r>
              <w:t xml:space="preserve">Requirements matrix; metric definitions; configuration analysis; misconfiguration experiments M1/M2; Part C; final formatting</w:t>
            </w:r>
          </w:p>
        </w:tc>
        <w:tc>
          <w:tcPr/>
          <w:p>
            <w:pPr>
              <w:pStyle w:val="Compact"/>
              <w:jc w:val="left"/>
            </w:pPr>
            <w:r>
              <w:t xml:space="preserve">Whole report for consistency; numbers against evidence</w:t>
            </w:r>
          </w:p>
        </w:tc>
        <w:tc>
          <w:tcPr/>
          <w:p>
            <w:pPr>
              <w:pStyle w:val="Compact"/>
              <w:jc w:val="left"/>
            </w:pPr>
            <w:r>
              <w:t xml:space="preserve">B1–B3, B8, Part C</w:t>
            </w:r>
          </w:p>
        </w:tc>
        <w:tc>
          <w:tcPr/>
          <w:p>
            <w:pPr>
              <w:pStyle w:val="Compact"/>
            </w:pPr>
          </w:p>
        </w:tc>
      </w:tr>
    </w:tbl>
    <w:bookmarkEnd w:id="50"/>
    <w:bookmarkStart w:id="51" w:name="appendix-a-configuration-sources"/>
    <w:p>
      <w:pPr>
        <w:pStyle w:val="Heading1"/>
      </w:pPr>
      <w:r>
        <w:t xml:space="preserve">Appendix A — Configuration Sources</w:t>
      </w:r>
    </w:p>
    <w:p>
      <w:pPr>
        <w:pStyle w:val="FirstParagraph"/>
        <w:keepNext/>
      </w:pPr>
      <w:r>
        <w:t xml:space="preserve">Our configuration scripts are in the project repository.</w:t>
      </w:r>
      <w:r>
        <w:t xml:space="preserve"> </w:t>
      </w:r>
      <w:r>
        <w:rPr>
          <w:bCs/>
          <w:b/>
        </w:rPr>
        <w:t xml:space="preserve">We have not yet tested them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packet-tracer/results/results-template.csv</w:t>
            </w:r>
          </w:p>
        </w:tc>
        <w:tc>
          <w:tcPr/>
          <w:p>
            <w:pPr>
              <w:pStyle w:val="Compact"/>
              <w:jc w:val="left"/>
            </w:pPr>
            <w:r>
              <w:t xml:space="preserve">Results table to be filled in</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51"/>
    <w:bookmarkStart w:id="55" w:name="X86e75e02aa72984c798d30d13de2ceb40b8940e"/>
    <w:p>
      <w:pPr>
        <w:pStyle w:val="Heading1"/>
      </w:pPr>
      <w:r>
        <w:t xml:space="preserve">Appendix C — Policy Configuration Scripts (Stages 1–3)</w:t>
      </w:r>
    </w:p>
    <w:p>
      <w:pPr>
        <w:pStyle w:val="FirstParagraph"/>
      </w:pPr>
      <w:r>
        <w:t xml:space="preserve">These are the ACL parts of our configuration scripts, as planned. They have</w:t>
      </w:r>
      <w:r>
        <w:t xml:space="preserve"> </w:t>
      </w:r>
      <w:r>
        <w:rPr>
          <w:bCs/>
          <w:b/>
        </w:rPr>
        <w:t xml:space="preserve">not yet been applied in Packet Tracer</w:t>
      </w:r>
      <w:r>
        <w:t xml:space="preserve">; after the build they will be replaced by the saved</w:t>
      </w:r>
      <w:r>
        <w:t xml:space="preserve"> </w:t>
      </w:r>
      <w:r>
        <w:rPr>
          <w:rStyle w:val="VerbatimChar"/>
        </w:rPr>
        <w:t xml:space="preserve">show running-config</w:t>
      </w:r>
      <w:r>
        <w:t xml:space="preserve"> </w:t>
      </w:r>
      <w:r>
        <w:t xml:space="preserve">output. Base configuration (Stage 0) is in the repository. Each stage is applied on top of the previous one, so an ACL not listed under a stage is carried over unchanged (for example, the Stage 1 edge ACL stays in place in Stage 2).</w:t>
      </w:r>
    </w:p>
    <w:bookmarkStart w:id="52"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52"/>
    <w:bookmarkStart w:id="53"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53"/>
    <w:bookmarkStart w:id="54"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54"/>
    <w:bookmarkEnd w:id="55"/>
    <w:bookmarkStart w:id="56"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during drafting, the bibliographic details below were checked against listings from the publisher, IETF, NIST, CISA, USENIX, the authors’ own pages or institutional repositories. Crossref and dblp could not be reached from the drafting environment. These are metadata checks only; no full text has yet been read by a team member.</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rPr>
                <w:b/>
              </w:rPr>
              <w:t xml:space="preserve">Ref.</w:t>
            </w:r>
          </w:p>
        </w:tc>
        <w:tc>
          <w:tcPr/>
          <w:p>
            <w:pPr>
              <w:pStyle w:val="Compact"/>
              <w:jc w:val="left"/>
            </w:pPr>
            <w:r>
              <w:rPr>
                <w:b/>
              </w:rPr>
              <w:t xml:space="preserve">What was confirmed online</w:t>
            </w:r>
          </w:p>
        </w:tc>
        <w:tc>
          <w:tcPr/>
          <w:p>
            <w:pPr>
              <w:pStyle w:val="Compact"/>
              <w:jc w:val="left"/>
            </w:pPr>
            <w:r>
              <w:rPr>
                <w:b/>
              </w:rPr>
              <w:t xml:space="preserve">Claim in this draft that relies on it</w:t>
            </w:r>
          </w:p>
        </w:tc>
        <w:tc>
          <w:tcPr/>
          <w:p>
            <w:pPr>
              <w:pStyle w:val="Compact"/>
              <w:jc w:val="left"/>
            </w:pPr>
            <w:r>
              <w:rPr>
                <w:b/>
              </w:rP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11"/>
        </w:numPr>
      </w:pPr>
      <w:r>
        <w:rPr>
          <w:bCs/>
          <w:b/>
        </w:rPr>
        <w:t xml:space="preserve">Minimum counts:</w:t>
      </w:r>
      <w:r>
        <w:t xml:space="preserve"> </w:t>
      </w:r>
      <w:r>
        <w:t xml:space="preserve">met (18 total; 10 peer-reviewed; 3 RFCs; 3 NIST publications).</w:t>
      </w:r>
    </w:p>
    <w:p>
      <w:pPr>
        <w:pStyle w:val="Compact"/>
        <w:numPr>
          <w:ilvl w:val="0"/>
          <w:numId w:val="1011"/>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11"/>
        </w:numPr>
      </w:pPr>
      <w:r>
        <w:rPr>
          <w:bCs/>
          <w:b/>
        </w:rPr>
        <w:t xml:space="preserve">Full-text checks:</w:t>
      </w:r>
      <w:r>
        <w:t xml:space="preserve"> </w:t>
      </w:r>
      <w:r>
        <w:t xml:space="preserve">every claim must be checked against the full text before submission (last column above).</w:t>
      </w:r>
    </w:p>
    <w:bookmarkEnd w:id="56"/>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2026-10-17T05:24:54Z</dcterms:created>
  <dcterms:modified xsi:type="dcterms:W3CDTF">2026-10-17T05:24:54Z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