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t xml:space="preserve">Item</w:t>
            </w:r>
          </w:p>
        </w:tc>
        <w:tc>
          <w:tcPr/>
          <w:p>
            <w:pPr>
              <w:pStyle w:val="Compact"/>
              <w:keepNext/>
              <w:jc w:val="left"/>
            </w:pPr>
            <w: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Planned ACL size per stage</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part ways on whether finer-grained policy actually lowers risk, given that empirical work links rule-set complexity to errors, and on whether automated tooling removes that tension.</w:t>
      </w:r>
    </w:p>
    <w:p>
      <w:pPr>
        <w:pStyle w:val="BodyText"/>
      </w:pPr>
      <w:r>
        <w:t xml:space="preserve">We identify three gaps: the empirical evidence rests on a few older datasets, the usability of management tools is seldom evaluated, and peer-reviewed measurements of microsegmentation are scarce. We argue that the security gained and the management cost incurred by a policy should be measured together, and we design a small Packet Tracer case study to do so.</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Put together, 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We use this source-validity check as the whole of our internal</w:t>
      </w:r>
      <w:r>
        <w:t xml:space="preserve"> </w:t>
      </w:r>
      <w:r>
        <w:t xml:space="preserve">“</w:t>
      </w:r>
      <w:r>
        <w:t xml:space="preserve">broad</w:t>
      </w:r>
      <w:r>
        <w:t xml:space="preserve">”</w:t>
      </w:r>
      <w:r>
        <w:t xml:space="preserve"> </w:t>
      </w:r>
      <w:r>
        <w:t xml:space="preserve">policy in Part B, because it is a realistic minimum that still leaves the inside of the network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The implication is that complexity, not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t xml:space="preserve">Approach</w:t>
            </w:r>
          </w:p>
        </w:tc>
        <w:tc>
          <w:tcPr/>
          <w:p>
            <w:pPr>
              <w:pStyle w:val="Compact"/>
              <w:keepNext/>
              <w:jc w:val="left"/>
            </w:pPr>
            <w:r>
              <w:t xml:space="preserve">Where trust is decided</w:t>
            </w:r>
          </w:p>
        </w:tc>
        <w:tc>
          <w:tcPr/>
          <w:p>
            <w:pPr>
              <w:pStyle w:val="Compact"/>
              <w:keepNext/>
              <w:jc w:val="left"/>
            </w:pPr>
            <w:r>
              <w:t xml:space="preserve">Granularity</w:t>
            </w:r>
          </w:p>
        </w:tc>
        <w:tc>
          <w:tcPr/>
          <w:p>
            <w:pPr>
              <w:pStyle w:val="Compact"/>
              <w:keepNext/>
              <w:jc w:val="left"/>
            </w:pPr>
            <w:r>
              <w:t xml:space="preserve">Main strength</w:t>
            </w:r>
          </w:p>
        </w:tc>
        <w:tc>
          <w:tcPr/>
          <w:p>
            <w:pPr>
              <w:pStyle w:val="Compact"/>
              <w:keepNext/>
              <w:jc w:val="left"/>
            </w:pPr>
            <w:r>
              <w:t xml:space="preserve">Main weakness or open issue</w:t>
            </w:r>
          </w:p>
        </w:tc>
        <w:tc>
          <w:tcPr/>
          <w:p>
            <w:pPr>
              <w:pStyle w:val="Compact"/>
              <w:keepNext/>
              <w:jc w:val="left"/>
            </w:pPr>
            <w: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t xml:space="preserve">Category</w:t>
            </w:r>
          </w:p>
        </w:tc>
        <w:tc>
          <w:tcPr/>
          <w:p>
            <w:pPr>
              <w:pStyle w:val="Compact"/>
              <w:keepNext/>
              <w:jc w:val="left"/>
            </w:pPr>
            <w:r>
              <w:t xml:space="preserve">Count</w:t>
            </w:r>
          </w:p>
        </w:tc>
        <w:tc>
          <w:tcPr/>
          <w:p>
            <w:pPr>
              <w:pStyle w:val="Compact"/>
              <w:keepNext/>
              <w:jc w:val="left"/>
            </w:pPr>
            <w: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policy from broad, to department-level, to service-level least privilege change (a) the unnecessary flows the policy allows and (b) the policy’s size, specificity and dependence on rule order, and how does this compare with the literature reviewed in Part A?</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B6.</w:t>
      </w:r>
    </w:p>
    <w:p>
      <w:pPr>
        <w:pStyle w:val="BodyText"/>
      </w:pPr>
      <w:r>
        <w:rPr>
          <w:bCs/>
          <w:b/>
        </w:rPr>
        <w:t xml:space="preserve">Working expectations.</w:t>
      </w:r>
      <w:r>
        <w:t xml:space="preserve"> </w:t>
      </w:r>
      <w:r>
        <w:t xml:space="preserve">We expect the following, but we treat them as hypotheses to test, not as results:</w:t>
      </w:r>
    </w:p>
    <w:p>
      <w:pPr>
        <w:pStyle w:val="Compact"/>
        <w:numPr>
          <w:ilvl w:val="0"/>
          <w:numId w:val="1004"/>
        </w:numPr>
      </w:pPr>
      <w:r>
        <w:rPr>
          <w:bCs/>
          <w:b/>
        </w:rPr>
        <w:t xml:space="preserve">E1.</w:t>
      </w:r>
      <w:r>
        <w:t xml:space="preserve"> </w:t>
      </w:r>
      <w:r>
        <w:t xml:space="preserve">The number of forbidden test cases that are permitted falls from Stage 1 to Stage 3.</w:t>
      </w:r>
    </w:p>
    <w:p>
      <w:pPr>
        <w:pStyle w:val="Compact"/>
        <w:numPr>
          <w:ilvl w:val="0"/>
          <w:numId w:val="1004"/>
        </w:numPr>
      </w:pPr>
      <w:r>
        <w:rPr>
          <w:bCs/>
          <w:b/>
        </w:rPr>
        <w:t xml:space="preserve">E2.</w:t>
      </w:r>
      <w:r>
        <w:t xml:space="preserve"> </w:t>
      </w:r>
      <w:r>
        <w:t xml:space="preserve">The number of ACL entries and match conditions rises from Stage 1 to Stage 3.</w:t>
      </w:r>
    </w:p>
    <w:p>
      <w:pPr>
        <w:pStyle w:val="Compact"/>
        <w:numPr>
          <w:ilvl w:val="0"/>
          <w:numId w:val="1004"/>
        </w:numPr>
      </w:pPr>
      <w:r>
        <w:rPr>
          <w:bCs/>
          <w:b/>
        </w:rPr>
        <w:t xml:space="preserve">E3.</w:t>
      </w:r>
      <w:r>
        <w:t xml:space="preserve"> </w:t>
      </w:r>
      <w:r>
        <w:t xml:space="preserve">Rule count alone does not capture complexity.</w:t>
      </w:r>
    </w:p>
    <w:p>
      <w:pPr>
        <w:pStyle w:val="Compact"/>
        <w:numPr>
          <w:ilvl w:val="0"/>
          <w:numId w:val="1004"/>
        </w:numPr>
        <w:spacing w:after="140"/>
      </w:pPr>
      <w:r>
        <w:rPr>
          <w:bCs/>
          <w:b/>
        </w:rPr>
        <w:t xml:space="preserve">E4.</w:t>
      </w:r>
      <w:r>
        <w:t xml:space="preserve"> </w:t>
      </w:r>
      <w:r>
        <w:t xml:space="preserve">Some excess access remains in every stage, because L3/L4 ACLs cannot express it.</w:t>
      </w:r>
    </w:p>
    <w:bookmarkEnd w:id="34"/>
    <w:bookmarkStart w:id="35" w:name="b2.-network-architecture"/>
    <w:p>
      <w:pPr>
        <w:pStyle w:val="Heading2"/>
      </w:pPr>
      <w:r>
        <w:t xml:space="preserve">B2. Network Architecture</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5"/>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5"/>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5"/>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5"/>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t xml:space="preserve">Device</w:t>
            </w:r>
          </w:p>
        </w:tc>
        <w:tc>
          <w:tcPr/>
          <w:p>
            <w:pPr>
              <w:pStyle w:val="Compact"/>
              <w:keepNext/>
              <w:jc w:val="left"/>
            </w:pPr>
            <w:r>
              <w:t xml:space="preserve">Packet Tracer model</w:t>
            </w:r>
          </w:p>
        </w:tc>
        <w:tc>
          <w:tcPr/>
          <w:p>
            <w:pPr>
              <w:pStyle w:val="Compact"/>
              <w:keepNext/>
              <w:jc w:val="left"/>
            </w:pPr>
            <w: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t xml:space="preserve">VLAN / zone</w:t>
            </w:r>
          </w:p>
        </w:tc>
        <w:tc>
          <w:tcPr/>
          <w:p>
            <w:pPr>
              <w:pStyle w:val="Compact"/>
              <w:keepNext/>
              <w:jc w:val="left"/>
            </w:pPr>
            <w:r>
              <w:t xml:space="preserve">Subnet</w:t>
            </w:r>
          </w:p>
        </w:tc>
        <w:tc>
          <w:tcPr/>
          <w:p>
            <w:pPr>
              <w:pStyle w:val="Compact"/>
              <w:keepNext/>
              <w:jc w:val="left"/>
            </w:pPr>
            <w:r>
              <w:t xml:space="preserve">Gateway</w:t>
            </w:r>
          </w:p>
        </w:tc>
        <w:tc>
          <w:tcPr/>
          <w:p>
            <w:pPr>
              <w:pStyle w:val="Compact"/>
              <w:keepNext/>
              <w:jc w:val="left"/>
            </w:pPr>
            <w: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We wrote down which flows the organisation needs, and which it must not have, before writing any ACL. Every Stage 2 and Stage 3 rule traces back to one of the requirements in Table 4,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t xml:space="preserve">ID</w:t>
            </w:r>
          </w:p>
        </w:tc>
        <w:tc>
          <w:tcPr/>
          <w:p>
            <w:pPr>
              <w:pStyle w:val="Compact"/>
              <w:keepNext/>
              <w:jc w:val="left"/>
            </w:pPr>
            <w:r>
              <w:t xml:space="preserve">Source → Destination</w:t>
            </w:r>
          </w:p>
        </w:tc>
        <w:tc>
          <w:tcPr/>
          <w:p>
            <w:pPr>
              <w:pStyle w:val="Compact"/>
              <w:keepNext/>
              <w:jc w:val="left"/>
            </w:pPr>
            <w:r>
              <w:t xml:space="preserve">Service</w:t>
            </w:r>
          </w:p>
        </w:tc>
        <w:tc>
          <w:tcPr/>
          <w:p>
            <w:pPr>
              <w:pStyle w:val="Compact"/>
              <w:keepNext/>
              <w:jc w:val="left"/>
            </w:pPr>
            <w: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Part C discusses what this substitution leaves out.</w:t>
      </w:r>
    </w:p>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Point</w:t>
            </w:r>
          </w:p>
        </w:tc>
        <w:tc>
          <w:tcPr/>
          <w:p>
            <w:pPr>
              <w:pStyle w:val="Compact"/>
              <w:keepNext/>
              <w:jc w:val="left"/>
            </w:pPr>
            <w: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t xml:space="preserve">Factor</w:t>
            </w:r>
          </w:p>
        </w:tc>
        <w:tc>
          <w:tcPr/>
          <w:p>
            <w:pPr>
              <w:pStyle w:val="Compact"/>
              <w:keepNext/>
              <w:jc w:val="left"/>
            </w:pPr>
            <w:r>
              <w:t xml:space="preserve">Stage 1 — Broad</w:t>
            </w:r>
          </w:p>
        </w:tc>
        <w:tc>
          <w:tcPr/>
          <w:p>
            <w:pPr>
              <w:pStyle w:val="Compact"/>
              <w:keepNext/>
              <w:jc w:val="left"/>
            </w:pPr>
            <w:r>
              <w:t xml:space="preserve">Stage 2 — Department-level</w:t>
            </w:r>
          </w:p>
        </w:tc>
        <w:tc>
          <w:tcPr/>
          <w:p>
            <w:pPr>
              <w:pStyle w:val="Compact"/>
              <w:keepNext/>
              <w:jc w:val="left"/>
            </w:pPr>
            <w: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internal source → any destination (source-validity check only, cf. [7])</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keepNext/>
        <w:spacing w:before="160"/>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Planned ACL size per stage</w:t>
      </w:r>
      <w:r>
        <w:t xml:space="preserve"> </w:t>
      </w:r>
      <w:r>
        <w:t xml:space="preserve">(derived from the design;</w:t>
      </w:r>
      <w:r>
        <w:t xml:space="preserve"> </w:t>
      </w:r>
      <w:r>
        <w:rPr>
          <w:iCs/>
          <w:i/>
        </w:rPr>
        <w:t xml:space="preserve">measured</w:t>
      </w:r>
      <w:r>
        <w:t xml:space="preserve"> </w:t>
      </w:r>
      <w:r>
        <w:t xml:space="preserve">values will come from</w:t>
      </w:r>
      <w:r>
        <w:t xml:space="preserve"> </w:t>
      </w:r>
      <w:r>
        <w:rPr>
          <w:rStyle w:val="VerbatimChar"/>
        </w:rPr>
        <w:t xml:space="preserve">show access-lists</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cantSplit/>
          <w:tblHeader/>
        </w:trPr>
        <w:tc>
          <w:tcPr/>
          <w:p>
            <w:pPr>
              <w:pStyle w:val="Compact"/>
              <w:keepNext/>
              <w:jc w:val="left"/>
            </w:pPr>
            <w:r>
              <w:t xml:space="preserve">Measure</w:t>
            </w:r>
          </w:p>
        </w:tc>
        <w:tc>
          <w:tcPr/>
          <w:p>
            <w:pPr>
              <w:pStyle w:val="Compact"/>
              <w:keepNext/>
              <w:jc w:val="left"/>
            </w:pPr>
            <w:r>
              <w:t xml:space="preserve">Stage 1</w:t>
            </w:r>
          </w:p>
        </w:tc>
        <w:tc>
          <w:tcPr/>
          <w:p>
            <w:pPr>
              <w:pStyle w:val="Compact"/>
              <w:keepNext/>
              <w:jc w:val="left"/>
            </w:pPr>
            <w:r>
              <w:t xml:space="preserve">Stage 2</w:t>
            </w:r>
          </w:p>
        </w:tc>
        <w:tc>
          <w:tcPr/>
          <w:p>
            <w:pPr>
              <w:pStyle w:val="Compact"/>
              <w:keepNext/>
              <w:jc w:val="left"/>
            </w:pPr>
            <w:r>
              <w:t xml:space="preserve">Stage 3</w:t>
            </w:r>
          </w:p>
        </w:tc>
      </w:tr>
      <w:tr>
        <w:trPr>
          <w:cantSplit/>
        </w:trPr>
        <w:tc>
          <w:tcPr/>
          <w:p>
            <w:pPr>
              <w:pStyle w:val="Compact"/>
              <w:keepNext/>
              <w:jc w:val="left"/>
            </w:pPr>
            <w:r>
              <w:t xml:space="preserve">Application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jc w:val="left"/>
            </w:pPr>
            <w:r>
              <w:t xml:space="preserve">Order-dependent entry pairs</w:t>
            </w:r>
          </w:p>
        </w:tc>
        <w:tc>
          <w:tcPr/>
          <w:p>
            <w:pPr>
              <w:pStyle w:val="Compact"/>
              <w:jc w:val="left"/>
            </w:pPr>
            <w:r>
              <w:t xml:space="preserve">0</w:t>
            </w:r>
          </w:p>
        </w:tc>
        <w:tc>
          <w:tcPr/>
          <w:p>
            <w:pPr>
              <w:pStyle w:val="Compact"/>
              <w:jc w:val="left"/>
            </w:pPr>
            <w:r>
              <w:t xml:space="preserve">9</w:t>
            </w:r>
          </w:p>
        </w:tc>
        <w:tc>
          <w:tcPr/>
          <w:p>
            <w:pPr>
              <w:pStyle w:val="Compact"/>
              <w:jc w:val="left"/>
            </w:pPr>
            <w:r>
              <w:t xml:space="preserve">24</w:t>
            </w:r>
          </w:p>
        </w:tc>
      </w:tr>
    </w:tbl>
    <w:p>
      <w:pPr>
        <w:pStyle w:val="BodyText"/>
        <w:spacing w:before="160"/>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p>
    <w:bookmarkEnd w:id="38"/>
    <w:bookmarkStart w:id="39" w:name="b6.-test-method"/>
    <w:p>
      <w:pPr>
        <w:pStyle w:val="Heading2"/>
      </w:pPr>
      <w:r>
        <w:t xml:space="preserve">B6. Test Method</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6"/>
        </w:numPr>
      </w:pPr>
      <w:r>
        <w:t xml:space="preserve">required (8): T01, T03, T04, T05, T06, T14, T15, T17</w:t>
      </w:r>
    </w:p>
    <w:p>
      <w:pPr>
        <w:pStyle w:val="Compact"/>
        <w:numPr>
          <w:ilvl w:val="0"/>
          <w:numId w:val="1006"/>
        </w:numPr>
      </w:pPr>
      <w:r>
        <w:t xml:space="preserve">forbidden (8): T07, T08, T10, T11, T12, T13, T16, T19</w:t>
      </w:r>
    </w:p>
    <w:p>
      <w:pPr>
        <w:pStyle w:val="Compact"/>
        <w:numPr>
          <w:ilvl w:val="0"/>
          <w:numId w:val="1006"/>
        </w:numPr>
        <w:spacing w:after="140"/>
      </w:pPr>
      <w:r>
        <w:t xml:space="preserve">control (1): T18</w:t>
      </w:r>
    </w:p>
    <w:p>
      <w:pPr>
        <w:pStyle w:val="FirstParagraph"/>
        <w:keepNext/>
      </w:pPr>
      <w:r>
        <w:t xml:space="preserve">These 17 cover every forbidden flow (X1–X7) and every required flow, with one partial exception: R5 (IT SSH to both routers) is tested only towards R-CORE (T06), because the R-EDGE test (T22) is not run. The other nine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Service</w:t>
            </w:r>
          </w:p>
        </w:tc>
        <w:tc>
          <w:tcPr/>
          <w:p>
            <w:pPr>
              <w:pStyle w:val="Compact"/>
              <w:keepNext/>
              <w:jc w:val="left"/>
            </w:pPr>
            <w: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Code</w:t>
            </w:r>
          </w:p>
        </w:tc>
        <w:tc>
          <w:tcPr/>
          <w:p>
            <w:pPr>
              <w:pStyle w:val="Compact"/>
              <w:keepNext/>
              <w:jc w:val="left"/>
            </w:pPr>
            <w: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t xml:space="preserve">Test</w:t>
            </w:r>
          </w:p>
        </w:tc>
        <w:tc>
          <w:tcPr/>
          <w:p>
            <w:pPr>
              <w:pStyle w:val="Compact"/>
              <w:keepNext/>
              <w:jc w:val="left"/>
            </w:pPr>
            <w:r>
              <w:t xml:space="preserve">Flow</w:t>
            </w:r>
          </w:p>
        </w:tc>
        <w:tc>
          <w:tcPr/>
          <w:p>
            <w:pPr>
              <w:pStyle w:val="Compact"/>
              <w:keepNext/>
              <w:jc w:val="left"/>
            </w:pPr>
            <w:r>
              <w:t xml:space="preserve">Method</w:t>
            </w:r>
          </w:p>
        </w:tc>
        <w:tc>
          <w:tcPr/>
          <w:p>
            <w:pPr>
              <w:pStyle w:val="Compact"/>
              <w:keepNext/>
              <w:jc w:val="left"/>
            </w:pPr>
            <w:r>
              <w:t xml:space="preserve">Req.</w:t>
            </w:r>
          </w:p>
        </w:tc>
        <w:tc>
          <w:tcPr/>
          <w:p>
            <w:pPr>
              <w:pStyle w:val="Compact"/>
              <w:keepNext/>
              <w:jc w:val="left"/>
            </w:pPr>
            <w:r>
              <w:t xml:space="preserve">Plan S1</w:t>
            </w:r>
          </w:p>
        </w:tc>
        <w:tc>
          <w:tcPr/>
          <w:p>
            <w:pPr>
              <w:pStyle w:val="Compact"/>
              <w:keepNext/>
              <w:jc w:val="left"/>
            </w:pPr>
            <w:r>
              <w:t xml:space="preserve">Plan S2</w:t>
            </w:r>
          </w:p>
        </w:tc>
        <w:tc>
          <w:tcPr/>
          <w:p>
            <w:pPr>
              <w:pStyle w:val="Compact"/>
              <w:keepNext/>
              <w:jc w:val="left"/>
            </w:pPr>
            <w:r>
              <w:t xml:space="preserve">Plan S3</w:t>
            </w:r>
          </w:p>
        </w:tc>
        <w:tc>
          <w:tcPr/>
          <w:p>
            <w:pPr>
              <w:pStyle w:val="Compact"/>
              <w:keepNext/>
              <w:jc w:val="left"/>
            </w:pPr>
            <w:r>
              <w:t xml:space="preserve">Obs. S0</w:t>
            </w:r>
          </w:p>
        </w:tc>
        <w:tc>
          <w:tcPr/>
          <w:p>
            <w:pPr>
              <w:pStyle w:val="Compact"/>
              <w:keepNext/>
              <w:jc w:val="left"/>
            </w:pPr>
            <w:r>
              <w:t xml:space="preserve">Obs. S1</w:t>
            </w:r>
          </w:p>
        </w:tc>
        <w:tc>
          <w:tcPr/>
          <w:p>
            <w:pPr>
              <w:pStyle w:val="Compact"/>
              <w:keepNext/>
              <w:jc w:val="left"/>
            </w:pPr>
            <w:r>
              <w:t xml:space="preserve">Obs. S2</w:t>
            </w:r>
          </w:p>
        </w:tc>
        <w:tc>
          <w:tcPr/>
          <w:p>
            <w:pPr>
              <w:pStyle w:val="Compact"/>
              <w:keepNext/>
              <w:jc w:val="left"/>
            </w:pPr>
            <w: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t xml:space="preserve">Experiment</w:t>
            </w:r>
          </w:p>
        </w:tc>
        <w:tc>
          <w:tcPr/>
          <w:p>
            <w:pPr>
              <w:pStyle w:val="Compact"/>
              <w:keepNext/>
              <w:jc w:val="left"/>
            </w:pPr>
            <w:r>
              <w:t xml:space="preserve">Base</w:t>
            </w:r>
          </w:p>
        </w:tc>
        <w:tc>
          <w:tcPr/>
          <w:p>
            <w:pPr>
              <w:pStyle w:val="Compact"/>
              <w:keepNext/>
              <w:jc w:val="left"/>
            </w:pPr>
            <w:r>
              <w:t xml:space="preserve">Change</w:t>
            </w:r>
          </w:p>
        </w:tc>
        <w:tc>
          <w:tcPr/>
          <w:p>
            <w:pPr>
              <w:pStyle w:val="Compact"/>
              <w:keepNext/>
              <w:jc w:val="left"/>
            </w:pPr>
            <w:r>
              <w:t xml:space="preserve">Planned observation</w:t>
            </w:r>
          </w:p>
        </w:tc>
        <w:tc>
          <w:tcPr/>
          <w:p>
            <w:pPr>
              <w:pStyle w:val="Compact"/>
              <w:keepNext/>
              <w:jc w:val="left"/>
            </w:pPr>
            <w: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fix: T08 still allowed, and the appended deny shows 0 matches (shadowed, cf. [9], [10]). After the fix: T08 denied.</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w:t>
            </w:r>
          </w:p>
        </w:tc>
        <w:tc>
          <w:tcPr/>
          <w:p>
            <w:pPr>
              <w:pStyle w:val="Compact"/>
              <w:keepNext/>
              <w:jc w:val="left"/>
            </w:pPr>
            <w:r>
              <w:t xml:space="preserve">nslookup fails; browsing by IP works; browsing by name fails</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keepNext/>
      </w:pPr>
      <w:r>
        <w:t xml:space="preserve">B8. Metrics and Comparative Analysis</w:t>
      </w:r>
    </w:p>
    <w:tbl>
      <w:tblPr>
        <w:tblStyle w:val="Table"/>
        <w:tblW w:type="pct" w:w="5000"/>
        <w:jc w:val="left"/>
        <w:tblLook w:firstRow="1" w:lastRow="0" w:firstColumn="0" w:lastColumn="0" w:noHBand="0" w:noVBand="0" w:val="0020"/>
      </w:tblPr>
      <w:tblGrid>
        <w:gridCol w:w="1552"/>
        <w:gridCol w:w="2795"/>
        <w:gridCol w:w="1242"/>
        <w:gridCol w:w="776"/>
        <w:gridCol w:w="776"/>
        <w:gridCol w:w="776"/>
      </w:tblGrid>
      <w:tr>
        <w:trPr>
          <w:cantSplit/>
          <w:tblHeader/>
        </w:trPr>
        <w:tc>
          <w:tcPr/>
          <w:p>
            <w:pPr>
              <w:pStyle w:val="Compact"/>
              <w:keepNext/>
              <w:jc w:val="left"/>
            </w:pPr>
            <w:r>
              <w:t xml:space="preserve">Metric</w:t>
            </w:r>
          </w:p>
        </w:tc>
        <w:tc>
          <w:tcPr/>
          <w:p>
            <w:pPr>
              <w:pStyle w:val="Compact"/>
              <w:keepNext/>
              <w:jc w:val="left"/>
            </w:pPr>
            <w:r>
              <w:t xml:space="preserve">Definition</w:t>
            </w:r>
          </w:p>
        </w:tc>
        <w:tc>
          <w:tcPr/>
          <w:p>
            <w:pPr>
              <w:pStyle w:val="Compact"/>
              <w:keepNext/>
              <w:jc w:val="left"/>
            </w:pPr>
            <w:r>
              <w:t xml:space="preserve">Planned S1 / S2 / S3</w:t>
            </w:r>
          </w:p>
        </w:tc>
        <w:tc>
          <w:tcPr/>
          <w:p>
            <w:pPr>
              <w:pStyle w:val="Compact"/>
              <w:keepNext/>
              <w:jc w:val="left"/>
            </w:pPr>
            <w:r>
              <w:t xml:space="preserve">Meas. S1</w:t>
            </w:r>
          </w:p>
        </w:tc>
        <w:tc>
          <w:tcPr/>
          <w:p>
            <w:pPr>
              <w:pStyle w:val="Compact"/>
              <w:keepNext/>
              <w:jc w:val="left"/>
            </w:pPr>
            <w:r>
              <w:t xml:space="preserve">Meas. S2</w:t>
            </w:r>
          </w:p>
        </w:tc>
        <w:tc>
          <w:tcPr/>
          <w:p>
            <w:pPr>
              <w:pStyle w:val="Compact"/>
              <w:keepNext/>
              <w:jc w:val="left"/>
            </w:pPr>
            <w:r>
              <w:t xml:space="preserve">Meas. S3</w:t>
            </w:r>
          </w:p>
        </w:tc>
      </w:tr>
      <w:tr>
        <w:trPr>
          <w:cantSplit/>
        </w:trPr>
        <w:tc>
          <w:tcPr/>
          <w:p>
            <w:pPr>
              <w:pStyle w:val="Compact"/>
              <w:keepNext/>
              <w:jc w:val="left"/>
            </w:pPr>
            <w:r>
              <w:t xml:space="preserve">Explicit ACL entries</w:t>
            </w:r>
          </w:p>
        </w:tc>
        <w:tc>
          <w:tcPr/>
          <w:p>
            <w:pPr>
              <w:pStyle w:val="Compact"/>
              <w:keepNext/>
              <w:jc w:val="left"/>
            </w:pPr>
            <w:r>
              <w:t xml:space="preserve">Permit/deny lines in</w:t>
            </w:r>
            <w:r>
              <w:t xml:space="preserve"> </w:t>
            </w:r>
            <w:r>
              <w:rPr>
                <w:rStyle w:val="VerbatimChar"/>
              </w:rPr>
              <w:t xml:space="preserve">show access-lists</w:t>
            </w:r>
          </w:p>
        </w:tc>
        <w:tc>
          <w:tcPr/>
          <w:p>
            <w:pPr>
              <w:pStyle w:val="Compact"/>
              <w:keepNext/>
              <w:jc w:val="left"/>
            </w:pPr>
            <w:r>
              <w:t xml:space="preserve">11 / 26 / 40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Same ACL, opposite actions, overlapping matches; the terminal deny is excluded</w:t>
            </w:r>
          </w:p>
        </w:tc>
        <w:tc>
          <w:tcPr/>
          <w:p>
            <w:pPr>
              <w:pStyle w:val="Compact"/>
              <w:keepNext/>
              <w:jc w:val="left"/>
            </w:pPr>
            <w:r>
              <w:t xml:space="preserve">0 / 9 / 24</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test cases passed (of 8 run)</w:t>
            </w:r>
          </w:p>
        </w:tc>
        <w:tc>
          <w:tcPr/>
          <w:p>
            <w:pPr>
              <w:pStyle w:val="Compact"/>
              <w:keepNext/>
              <w:jc w:val="left"/>
            </w:pPr>
            <w:r>
              <w:t xml:space="preserve">From Table 7</w:t>
            </w:r>
          </w:p>
        </w:tc>
        <w:tc>
          <w:tcPr/>
          <w:p>
            <w:pPr>
              <w:pStyle w:val="Compact"/>
              <w:keepNext/>
              <w:jc w:val="left"/>
            </w:pPr>
            <w:r>
              <w:t xml:space="preserve">8 / 8 / 8</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Forbidden test cases permitted (of 8 run)</w:t>
            </w:r>
          </w:p>
        </w:tc>
        <w:tc>
          <w:tcPr/>
          <w:p>
            <w:pPr>
              <w:pStyle w:val="Compact"/>
              <w:keepNext/>
              <w:jc w:val="left"/>
            </w:pPr>
            <w:r>
              <w:t xml:space="preserve">From Table 7</w:t>
            </w:r>
          </w:p>
        </w:tc>
        <w:tc>
          <w:tcPr/>
          <w:p>
            <w:pPr>
              <w:pStyle w:val="Compact"/>
              <w:keepNext/>
              <w:jc w:val="left"/>
            </w:pPr>
            <w:r>
              <w:t xml:space="preserve">7 / 4 / 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Needs the full Sales sweep (T02, T20, T23–T26), which is not run in this draft</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Zero-match entries</w:t>
            </w:r>
          </w:p>
        </w:tc>
        <w:tc>
          <w:tcPr/>
          <w:p>
            <w:pPr>
              <w:pStyle w:val="Compact"/>
              <w:keepNext/>
              <w:jc w:val="left"/>
            </w:pPr>
            <w:r>
              <w:t xml:space="preserve">Counter is 0 after the run (relative to the 17 test cases run only)</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w:t>
            </w:r>
          </w:p>
        </w:tc>
        <w:tc>
          <w:tcPr/>
          <w:p>
            <w:pPr>
              <w:pStyle w:val="Compact"/>
              <w:jc w:val="left"/>
            </w:pPr>
            <w:r>
              <w:t xml:space="preserve">Diff against the previous stage</w:t>
            </w:r>
          </w:p>
        </w:tc>
        <w:tc>
          <w:tcPr/>
          <w:p>
            <w:pPr>
              <w:pStyle w:val="Compact"/>
              <w:jc w:val="left"/>
            </w:pPr>
            <w:r>
              <w:t xml:space="preserve">—</w:t>
            </w:r>
          </w:p>
        </w:tc>
        <w:tc>
          <w:tcPr/>
          <w:p>
            <w:pPr>
              <w:pStyle w:val="Compact"/>
            </w:pPr>
          </w:p>
        </w:tc>
        <w:tc>
          <w:tcPr/>
          <w:p>
            <w:pPr>
              <w:pStyle w:val="Compact"/>
            </w:pPr>
          </w:p>
        </w:tc>
        <w:tc>
          <w:tcPr/>
          <w:p>
            <w:pPr>
              <w:pStyle w:val="Compact"/>
            </w:pPr>
          </w:p>
        </w:tc>
      </w:tr>
    </w:tbl>
    <w:p>
      <w:pPr>
        <w:pStyle w:val="BodyText"/>
        <w:spacing w:before="160"/>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t xml:space="preserve">Fig.</w:t>
            </w:r>
          </w:p>
        </w:tc>
        <w:tc>
          <w:tcPr/>
          <w:p>
            <w:pPr>
              <w:pStyle w:val="Compact"/>
              <w:keepNext/>
              <w:jc w:val="left"/>
            </w:pPr>
            <w:r>
              <w:t xml:space="preserve">Content</w:t>
            </w:r>
          </w:p>
        </w:tc>
        <w:tc>
          <w:tcPr/>
          <w:p>
            <w:pPr>
              <w:pStyle w:val="Compact"/>
              <w:keepNext/>
              <w:jc w:val="left"/>
            </w:pPr>
            <w: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t xml:space="preserve">Planned observation (not yet measured)</w:t>
            </w:r>
          </w:p>
        </w:tc>
        <w:tc>
          <w:tcPr/>
          <w:p>
            <w:pPr>
              <w:pStyle w:val="Compact"/>
              <w:keepNext/>
              <w:jc w:val="left"/>
            </w:pPr>
            <w:r>
              <w:t xml:space="preserve">Literature</w:t>
            </w:r>
          </w:p>
        </w:tc>
        <w:tc>
          <w:tcPr/>
          <w:p>
            <w:pPr>
              <w:pStyle w:val="Compact"/>
              <w:keepNext/>
              <w:jc w:val="left"/>
            </w:pPr>
            <w: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deny shows 0 matches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flag set, unlike a stateful firewall. There is no real attack traffic, logging or monitoring, and protocol behaviour follows Packet Tracer’s models; how FTP behaves is still pending pilot P7.</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and zero-match counts will reflect only the tests run.</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t xml:space="preserve">Member</w:t>
            </w:r>
          </w:p>
        </w:tc>
        <w:tc>
          <w:tcPr/>
          <w:p>
            <w:pPr>
              <w:pStyle w:val="Compact"/>
              <w:keepNext/>
              <w:jc w:val="left"/>
            </w:pPr>
            <w:r>
              <w:t xml:space="preserve">Reg. No.</w:t>
            </w:r>
          </w:p>
        </w:tc>
        <w:tc>
          <w:tcPr/>
          <w:p>
            <w:pPr>
              <w:pStyle w:val="Compact"/>
              <w:keepNext/>
              <w:jc w:val="left"/>
            </w:pPr>
            <w:r>
              <w:t xml:space="preserve">Role(s)</w:t>
            </w:r>
          </w:p>
        </w:tc>
        <w:tc>
          <w:tcPr/>
          <w:p>
            <w:pPr>
              <w:pStyle w:val="Compact"/>
              <w:keepNext/>
              <w:jc w:val="left"/>
            </w:pPr>
            <w:r>
              <w:t xml:space="preserve">Viva section</w:t>
            </w:r>
          </w:p>
        </w:tc>
        <w:tc>
          <w:tcPr/>
          <w:p>
            <w:pPr>
              <w:pStyle w:val="Compact"/>
              <w:keepNext/>
              <w:jc w:val="left"/>
            </w:pPr>
            <w:r>
              <w:t xml:space="preserve">Main contributions</w:t>
            </w:r>
          </w:p>
        </w:tc>
        <w:tc>
          <w:tcPr/>
          <w:p>
            <w:pPr>
              <w:pStyle w:val="Compact"/>
              <w:keepNext/>
              <w:jc w:val="left"/>
            </w:pPr>
            <w:r>
              <w:t xml:space="preserve">Reviewed / verified</w:t>
            </w:r>
          </w:p>
        </w:tc>
        <w:tc>
          <w:tcPr/>
          <w:p>
            <w:pPr>
              <w:pStyle w:val="Compact"/>
              <w:keepNext/>
              <w:jc w:val="left"/>
            </w:pPr>
            <w: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t xml:space="preserve">Repository path</w:t>
            </w:r>
          </w:p>
        </w:tc>
        <w:tc>
          <w:tcPr/>
          <w:p>
            <w:pPr>
              <w:pStyle w:val="Compact"/>
              <w:keepNext/>
              <w:jc w:val="left"/>
            </w:pPr>
            <w: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jc w:val="left"/>
            </w:pPr>
            <w:r>
              <w:rPr>
                <w:rStyle w:val="VerbatimChar"/>
              </w:rPr>
              <w:t xml:space="preserve">network-design/acl-design.md</w:t>
            </w:r>
          </w:p>
        </w:tc>
        <w:tc>
          <w:tcPr/>
          <w:p>
            <w:pPr>
              <w:pStyle w:val="Compact"/>
              <w:jc w:val="left"/>
            </w:pPr>
            <w:r>
              <w:t xml:space="preserve">Full rule tables, rule-by-rule traces and metric definitions</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07"/>
        </w:numPr>
      </w:pPr>
      <w:r>
        <w:rPr>
          <w:bCs/>
          <w:b/>
        </w:rPr>
        <w:t xml:space="preserve">Minimum counts:</w:t>
      </w:r>
      <w:r>
        <w:t xml:space="preserve"> </w:t>
      </w:r>
      <w:r>
        <w:t xml:space="preserve">met (18 total; 10 peer-reviewed; 3 RFCs; 3 NIST publications).</w:t>
      </w:r>
    </w:p>
    <w:p>
      <w:pPr>
        <w:pStyle w:val="Compact"/>
        <w:numPr>
          <w:ilvl w:val="0"/>
          <w:numId w:val="1007"/>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07"/>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heme="majorHAnsi" w:cstheme="majorBidi" w:eastAsiaTheme="majorEastAsia" w:hAnsiTheme="majorHAnsi"/>
      <w:b/>
      <w:bCs/>
      <w:color w:val="1F3864"/>
      <w:sz w:val="36"/>
      <w:szCs w:val="36"/>
    </w:rPr>
  </w:style>
  <w:style w:styleId="Subtitle" w:type="paragraph">
    <w:name w:val="Subtitle"/>
    <w:basedOn w:val="Title"/>
    <w:next w:val="BodyText"/>
    <w:qFormat/>
    <w:pPr>
      <w:keepNext/>
      <w:keepLines/>
      <w:spacing w:after="360" w:before="0"/>
      <w:jc w:val="center"/>
    </w:pPr>
    <w:rPr>
      <w:rFonts w:asciiTheme="majorHAnsi" w:cstheme="majorBidi" w:eastAsiaTheme="majorEastAsia" w:hAnsiTheme="majorHAnsi"/>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00"/>
      <w:outlineLvl w:val="0"/>
    </w:pPr>
    <w:rPr>
      <w:rFonts w:asciiTheme="majorHAnsi" w:cstheme="majorBidi" w:eastAsiaTheme="majorEastAsia" w:hAnsiTheme="majorHAnsi"/>
      <w:b/>
      <w:bCs/>
      <w:color w:val="1F3864"/>
      <w:sz w:val="30"/>
      <w:szCs w:val="30"/>
    </w:rPr>
  </w:style>
  <w:style w:styleId="Heading2" w:type="paragraph">
    <w:name w:val="Heading 2"/>
    <w:basedOn w:val="Normal"/>
    <w:next w:val="BodyText"/>
    <w:uiPriority w:val="9"/>
    <w:unhideWhenUsed/>
    <w:qFormat/>
    <w:pPr>
      <w:keepNext/>
      <w:keepLines/>
      <w:spacing w:after="80" w:before="220"/>
      <w:outlineLvl w:val="1"/>
    </w:pPr>
    <w:rPr>
      <w:rFonts w:asciiTheme="majorHAnsi" w:cstheme="majorBidi" w:eastAsiaTheme="majorEastAsia" w:hAnsiTheme="majorHAnsi"/>
      <w:b/>
      <w:bCs/>
      <w:color w:val="1F3864"/>
      <w:sz w:val="26"/>
      <w:szCs w:val="26"/>
    </w:rPr>
  </w:style>
  <w:style w:styleId="Heading3" w:type="paragraph">
    <w:name w:val="Heading 3"/>
    <w:basedOn w:val="Normal"/>
    <w:next w:val="BodyText"/>
    <w:uiPriority w:val="9"/>
    <w:unhideWhenUsed/>
    <w:qFormat/>
    <w:pPr>
      <w:keepNext/>
      <w:keepLines/>
      <w:spacing w:after="60" w:before="180"/>
      <w:outlineLvl w:val="2"/>
    </w:pPr>
    <w:rPr>
      <w:rFonts w:asciiTheme="majorHAnsi" w:cstheme="majorBidi" w:eastAsiaTheme="majorEastAsia" w:hAnsiTheme="majorHAnsi"/>
      <w:b/>
      <w:bCs/>
      <w:color w:val="1F3864"/>
      <w:sz w:val="23"/>
      <w:szCs w:val="23"/>
    </w:rPr>
  </w:style>
  <w:style w:styleId="Heading4" w:type="paragraph">
    <w:name w:val="Heading 4"/>
    <w:basedOn w:val="Normal"/>
    <w:next w:val="BodyText"/>
    <w:uiPriority w:val="9"/>
    <w:unhideWhenUsed/>
    <w:qFormat/>
    <w:pPr>
      <w:keepNext/>
      <w:keepLines/>
      <w:spacing w:after="40" w:before="140"/>
      <w:outlineLvl w:val="3"/>
    </w:pPr>
    <w:rPr>
      <w:rFonts w:asciiTheme="majorHAnsi" w:cstheme="majorBidi" w:eastAsiaTheme="majorEastAsia" w:hAnsiTheme="majorHAnsi"/>
      <w:b/>
      <w:bCs/>
      <w:color w:val="1F3864"/>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2026-10-08T21:34:11Z</dcterms:created>
  <dcterms:modified xsi:type="dcterms:W3CDTF">2026-10-08T21:34:11Z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