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2.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90.png" ContentType="image/png"/>
  <Override PartName="/word/media/rId87.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Ping of 5</w:t>
            </w:r>
          </w:p>
        </w:tc>
      </w:tr>
      <w:tr>
        <w:trPr>
          <w:cantSplit/>
        </w:trPr>
        <w:tc>
          <w:tcPr/>
          <w:p>
            <w:pPr>
              <w:pStyle w:val="Compact"/>
              <w:keepNext/>
              <w:jc w:val="left"/>
            </w:pPr>
            <w:r>
              <w:rPr>
                <w:bCs/>
                <w:b/>
              </w:rPr>
              <w:t xml:space="preserve">Member 1</w:t>
            </w:r>
          </w:p>
        </w:tc>
        <w:tc>
          <w:tcPr/>
          <w:p>
            <w:pPr>
              <w:pStyle w:val="Compact"/>
              <w:keepNext/>
              <w:jc w:val="left"/>
            </w:pPr>
            <w:r>
              <w:t xml:space="preserve">Ramsrivathsan R — 25BCE2111</w:t>
            </w:r>
          </w:p>
        </w:tc>
      </w:tr>
      <w:tr>
        <w:trPr>
          <w:cantSplit/>
        </w:trPr>
        <w:tc>
          <w:tcPr/>
          <w:p>
            <w:pPr>
              <w:pStyle w:val="Compact"/>
              <w:keepNext/>
              <w:jc w:val="left"/>
            </w:pPr>
            <w:r>
              <w:rPr>
                <w:bCs/>
                <w:b/>
              </w:rPr>
              <w:t xml:space="preserve">Member 2</w:t>
            </w:r>
          </w:p>
        </w:tc>
        <w:tc>
          <w:tcPr/>
          <w:p>
            <w:pPr>
              <w:pStyle w:val="Compact"/>
              <w:keepNext/>
              <w:jc w:val="left"/>
            </w:pPr>
            <w:r>
              <w:t xml:space="preserve">S Darshan — 25BCE2883</w:t>
            </w:r>
          </w:p>
        </w:tc>
      </w:tr>
      <w:tr>
        <w:trPr>
          <w:cantSplit/>
        </w:trPr>
        <w:tc>
          <w:tcPr/>
          <w:p>
            <w:pPr>
              <w:pStyle w:val="Compact"/>
              <w:keepNext/>
              <w:jc w:val="left"/>
            </w:pPr>
            <w:r>
              <w:rPr>
                <w:bCs/>
                <w:b/>
              </w:rPr>
              <w:t xml:space="preserve">Member 3</w:t>
            </w:r>
          </w:p>
        </w:tc>
        <w:tc>
          <w:tcPr/>
          <w:p>
            <w:pPr>
              <w:pStyle w:val="Compact"/>
              <w:keepNext/>
              <w:jc w:val="left"/>
            </w:pPr>
            <w:r>
              <w:t xml:space="preserve">M B Adavan — 25BCE0063</w:t>
            </w:r>
          </w:p>
        </w:tc>
      </w:tr>
      <w:tr>
        <w:trPr>
          <w:cantSplit/>
        </w:trPr>
        <w:tc>
          <w:tcPr/>
          <w:p>
            <w:pPr>
              <w:pStyle w:val="Compact"/>
              <w:keepNext/>
              <w:jc w:val="left"/>
            </w:pPr>
            <w:r>
              <w:rPr>
                <w:bCs/>
                <w:b/>
              </w:rPr>
              <w:t xml:space="preserve">Member 4</w:t>
            </w:r>
          </w:p>
        </w:tc>
        <w:tc>
          <w:tcPr/>
          <w:p>
            <w:pPr>
              <w:pStyle w:val="Compact"/>
              <w:keepNext/>
              <w:jc w:val="left"/>
            </w:pPr>
            <w:r>
              <w:t xml:space="preserve">Naveen V S — 25BCE0059</w:t>
            </w:r>
          </w:p>
        </w:tc>
      </w:tr>
      <w:tr>
        <w:trPr>
          <w:cantSplit/>
        </w:trPr>
        <w:tc>
          <w:tcPr/>
          <w:p>
            <w:pPr>
              <w:pStyle w:val="Compact"/>
              <w:keepNext/>
              <w:jc w:val="left"/>
            </w:pPr>
            <w:r>
              <w:rPr>
                <w:bCs/>
                <w:b/>
              </w:rPr>
              <w:t xml:space="preserve">Member 5</w:t>
            </w:r>
          </w:p>
        </w:tc>
        <w:tc>
          <w:tcPr/>
          <w:p>
            <w:pPr>
              <w:pStyle w:val="Compact"/>
              <w:keepNext/>
              <w:jc w:val="left"/>
            </w:pPr>
            <w:r>
              <w:t xml:space="preserve">Himaneesh S — 25BAI0007</w:t>
            </w:r>
          </w:p>
        </w:tc>
      </w:tr>
      <w:tr>
        <w:trPr>
          <w:cantSplit/>
        </w:trPr>
        <w:tc>
          <w:tcPr/>
          <w:p>
            <w:pPr>
              <w:pStyle w:val="Compact"/>
              <w:keepNext/>
              <w:jc w:val="left"/>
            </w:pPr>
            <w:r>
              <w:rPr>
                <w:bCs/>
                <w:b/>
              </w:rPr>
              <w:t xml:space="preserve">Faculty</w:t>
            </w:r>
          </w:p>
        </w:tc>
        <w:tc>
          <w:tcPr/>
          <w:p>
            <w:pPr>
              <w:pStyle w:val="Compact"/>
              <w:keepNext/>
              <w:jc w:val="left"/>
            </w:pPr>
            <w:r>
              <w:t xml:space="preserve">Dr. Thiruvenkadam</w:t>
            </w:r>
          </w:p>
        </w:tc>
      </w:tr>
      <w:tr>
        <w:trPr>
          <w:cantSplit/>
        </w:trPr>
        <w:tc>
          <w:tcPr/>
          <w:p>
            <w:pPr>
              <w:pStyle w:val="Compact"/>
              <w:jc w:val="left"/>
            </w:pPr>
            <w:r>
              <w:rPr>
                <w:bCs/>
                <w:b/>
              </w:rPr>
              <w:t xml:space="preserve">Submission date</w:t>
            </w:r>
          </w:p>
        </w:tc>
        <w:tc>
          <w:tcPr/>
          <w:p>
            <w:pPr>
              <w:pStyle w:val="Compact"/>
              <w:jc w:val="left"/>
            </w:pPr>
            <w:r>
              <w:t xml:space="preserve">24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51" w:name="part-a-review-paper"/>
    <w:p>
      <w:pPr>
        <w:pStyle w:val="Heading1"/>
      </w:pPr>
      <w:r>
        <w:t xml:space="preserve">PART A — Review Paper</w:t>
      </w:r>
    </w:p>
    <w:bookmarkStart w:id="50"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49" w:name="references-shared-by-parts-a-b-and-c"/>
    <w:p>
      <w:pPr>
        <w:pStyle w:val="Heading3"/>
      </w:pPr>
      <w:r>
        <w:t xml:space="preserve">References (shared by Parts A, B and C)</w:t>
      </w:r>
    </w:p>
    <w:p>
      <w:pPr>
        <w:pStyle w:val="FirstParagraph"/>
      </w:pPr>
      <w:r>
        <w:t xml:space="preserve">The references follow IEEE style. DOIs or URLs are given where an authoritative listing showed them.</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w:t>
      </w:r>
      <w:r>
        <w:t xml:space="preserve"> </w:t>
      </w:r>
      <w:hyperlink r:id="rId31">
        <w:r>
          <w:rPr>
            <w:rStyle w:val="Hyperlink"/>
          </w:rPr>
          <w:t xml:space="preserve">https://ieeexplore.ieee.org/document/1306389</w:t>
        </w:r>
      </w:hyperlink>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 [Online]. Available:</w:t>
      </w:r>
      <w:r>
        <w:t xml:space="preserve"> </w:t>
      </w:r>
      <w:hyperlink r:id="rId32">
        <w:r>
          <w:rPr>
            <w:rStyle w:val="Hyperlink"/>
          </w:rPr>
          <w:t xml:space="preserve">https://arxiv.org/abs/0911.1240</w:t>
        </w:r>
      </w:hyperlink>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w:t>
      </w:r>
      <w:r>
        <w:t xml:space="preserve"> </w:t>
      </w:r>
      <w:hyperlink r:id="rId33">
        <w:r>
          <w:rPr>
            <w:rStyle w:val="Hyperlink"/>
          </w:rPr>
          <w:t xml:space="preserve">10.6028/NIST.SP.800-41r1</w:t>
        </w:r>
      </w:hyperlink>
      <w:r>
        <w:t xml:space="preserve">.</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w:t>
      </w:r>
      <w:r>
        <w:t xml:space="preserve"> </w:t>
      </w:r>
      <w:hyperlink r:id="rId34">
        <w:r>
          <w:rPr>
            <w:rStyle w:val="Hyperlink"/>
          </w:rPr>
          <w:t xml:space="preserve">10.6028/NIST.SP.800-207</w:t>
        </w:r>
      </w:hyperlink>
      <w:r>
        <w:t xml:space="preserve">.</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 [Online]. Available:</w:t>
      </w:r>
      <w:r>
        <w:t xml:space="preserve"> </w:t>
      </w:r>
      <w:hyperlink r:id="rId35">
        <w:r>
          <w:rPr>
            <w:rStyle w:val="Hyperlink"/>
          </w:rPr>
          <w:t xml:space="preserve">https://www.cs.virginia.edu/~evans/cs551/saltzer/</w:t>
        </w:r>
      </w:hyperlink>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 [Online]. Available:</w:t>
      </w:r>
      <w:r>
        <w:t xml:space="preserve"> </w:t>
      </w:r>
      <w:hyperlink r:id="rId36">
        <w:r>
          <w:rPr>
            <w:rStyle w:val="Hyperlink"/>
          </w:rPr>
          <w:t xml:space="preserve">https://www.rfc-editor.org/rfc/rfc2979</w:t>
        </w:r>
      </w:hyperlink>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w:t>
      </w:r>
      <w:r>
        <w:t xml:space="preserve"> </w:t>
      </w:r>
      <w:hyperlink r:id="rId37">
        <w:r>
          <w:rPr>
            <w:rStyle w:val="Hyperlink"/>
          </w:rPr>
          <w:t xml:space="preserve">10.17487/RFC2827</w:t>
        </w:r>
      </w:hyperlink>
      <w:r>
        <w:t xml:space="preserve">.</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r>
        <w:t xml:space="preserve"> </w:t>
      </w:r>
      <w:r>
        <w:t xml:space="preserve">[Online]. Available:</w:t>
      </w:r>
      <w:r>
        <w:t xml:space="preserve"> </w:t>
      </w:r>
      <w:hyperlink r:id="rId38">
        <w:r>
          <w:rPr>
            <w:rStyle w:val="Hyperlink"/>
          </w:rPr>
          <w:t xml:space="preserve">https://www.usenix.org/publications/login/dec14/ward</w:t>
        </w:r>
      </w:hyperlink>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[Online]. Available:</w:t>
      </w:r>
      <w:r>
        <w:t xml:space="preserve"> </w:t>
      </w:r>
      <w:hyperlink r:id="rId39">
        <w:r>
          <w:rPr>
            <w:rStyle w:val="Hyperlink"/>
          </w:rPr>
          <w:t xml:space="preserve">https://pure.kfupm.edu.sa/en/publications/discovery-of-policy-anomalies-in-distributed-firewalls/</w:t>
        </w:r>
      </w:hyperlink>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w:t>
      </w:r>
      <w:r>
        <w:t xml:space="preserve"> </w:t>
      </w:r>
      <w:hyperlink r:id="rId40">
        <w:r>
          <w:rPr>
            <w:rStyle w:val="Hyperlink"/>
          </w:rPr>
          <w:t xml:space="preserve">10.1109/JSAC.2005.854119</w:t>
        </w:r>
      </w:hyperlink>
      <w:r>
        <w:t xml:space="preserve">.</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w:t>
      </w:r>
      <w:r>
        <w:t xml:space="preserve"> </w:t>
      </w:r>
      <w:hyperlink r:id="rId41">
        <w:r>
          <w:rPr>
            <w:rStyle w:val="Hyperlink"/>
          </w:rPr>
          <w:t xml:space="preserve">10.1109/SP.2006.16</w:t>
        </w:r>
      </w:hyperlink>
      <w:r>
        <w:t xml:space="preserve">.</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 [Online]. Available:</w:t>
      </w:r>
      <w:r>
        <w:t xml:space="preserve"> </w:t>
      </w:r>
      <w:hyperlink r:id="rId42">
        <w:r>
          <w:rPr>
            <w:rStyle w:val="Hyperlink"/>
          </w:rPr>
          <w:t xml:space="preserve">https://ftp.math.utah.edu/pub/tex/bib/idx/compnetamsterdam2000/51/4/1106_1120.html</w:t>
        </w:r>
      </w:hyperlink>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w:t>
      </w:r>
      <w:r>
        <w:t xml:space="preserve"> </w:t>
      </w:r>
      <w:hyperlink r:id="rId43">
        <w:r>
          <w:rPr>
            <w:rStyle w:val="Hyperlink"/>
          </w:rPr>
          <w:t xml:space="preserve">10.1145/3130876</w:t>
        </w:r>
      </w:hyperlink>
      <w:r>
        <w:t xml:space="preserve">.</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w:t>
      </w:r>
      <w:r>
        <w:t xml:space="preserve"> </w:t>
      </w:r>
      <w:hyperlink r:id="rId44">
        <w:r>
          <w:rPr>
            <w:rStyle w:val="Hyperlink"/>
          </w:rPr>
          <w:t xml:space="preserve">https://ieeexplore.ieee.org/document/9773102</w:t>
        </w:r>
      </w:hyperlink>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w:t>
      </w:r>
      <w:r>
        <w:t xml:space="preserve"> </w:t>
      </w:r>
      <w:hyperlink r:id="rId45">
        <w:r>
          <w:rPr>
            <w:rStyle w:val="Hyperlink"/>
          </w:rPr>
          <w:t xml:space="preserve">10.6028/NIST.SP.800-215</w:t>
        </w:r>
      </w:hyperlink>
      <w:r>
        <w:t xml:space="preserve">.</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r>
        <w:t xml:space="preserve"> </w:t>
      </w:r>
      <w:r>
        <w:t xml:space="preserve">[Online]. Available:</w:t>
      </w:r>
      <w:r>
        <w:t xml:space="preserve"> </w:t>
      </w:r>
      <w:hyperlink r:id="rId46">
        <w:r>
          <w:rPr>
            <w:rStyle w:val="Hyperlink"/>
          </w:rPr>
          <w:t xml:space="preserve">https://www.cisa.gov/resources-tools/resources/microsegmentation-zero-trust-part-one-introduction-and-planning</w:t>
        </w:r>
      </w:hyperlink>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w:t>
      </w:r>
      <w:r>
        <w:t xml:space="preserve"> </w:t>
      </w:r>
      <w:hyperlink r:id="rId47">
        <w:r>
          <w:rPr>
            <w:rStyle w:val="Hyperlink"/>
          </w:rPr>
          <w:t xml:space="preserve">10.1145/1035582.1035583</w:t>
        </w:r>
      </w:hyperlink>
      <w:r>
        <w:t xml:space="preserve">.</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 [Online]. Available:</w:t>
      </w:r>
      <w:r>
        <w:t xml:space="preserve"> </w:t>
      </w:r>
      <w:hyperlink r:id="rId48">
        <w:r>
          <w:rPr>
            <w:rStyle w:val="Hyperlink"/>
          </w:rPr>
          <w:t xml:space="preserve">https://www.rfc-editor.org/rfc/rfc5737</w:t>
        </w:r>
      </w:hyperlink>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49"/>
    <w:bookmarkEnd w:id="50"/>
    <w:bookmarkEnd w:id="51"/>
    <w:bookmarkStart w:id="96"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52"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52"/>
    <w:bookmarkStart w:id="53"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53"/>
    <w:bookmarkStart w:id="54"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54"/>
    <w:bookmarkStart w:id="58"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56" name="Picture"/>
            <a:graphic>
              <a:graphicData uri="http://schemas.openxmlformats.org/drawingml/2006/picture">
                <pic:pic>
                  <pic:nvPicPr>
                    <pic:cNvPr descr="../figures/design-topology.png" id="57" name="Picture"/>
                    <pic:cNvPicPr>
                      <a:picLocks noChangeArrowheads="1" noChangeAspect="1"/>
                    </pic:cNvPicPr>
                  </pic:nvPicPr>
                  <pic:blipFill>
                    <a:blip r:embed="rId55"/>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58"/>
    <w:bookmarkStart w:id="65"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60" name="Picture"/>
            <a:graphic>
              <a:graphicData uri="http://schemas.openxmlformats.org/drawingml/2006/picture">
                <pic:pic>
                  <pic:nvPicPr>
                    <pic:cNvPr descr="../figures/observed/F03-stage0-rcore-interfaces.png" id="61" name="Picture"/>
                    <pic:cNvPicPr>
                      <a:picLocks noChangeArrowheads="1" noChangeAspect="1"/>
                    </pic:cNvPicPr>
                  </pic:nvPicPr>
                  <pic:blipFill>
                    <a:blip r:embed="rId59"/>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63" name="Picture"/>
            <a:graphic>
              <a:graphicData uri="http://schemas.openxmlformats.org/drawingml/2006/picture">
                <pic:pic>
                  <pic:nvPicPr>
                    <pic:cNvPr descr="../figures/observed/F04-stage0-sales-ssh-open.png" id="64" name="Picture"/>
                    <pic:cNvPicPr>
                      <a:picLocks noChangeArrowheads="1" noChangeAspect="1"/>
                    </pic:cNvPicPr>
                  </pic:nvPicPr>
                  <pic:blipFill>
                    <a:blip r:embed="rId62"/>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65"/>
    <w:bookmarkStart w:id="66"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66"/>
    <w:bookmarkStart w:id="67"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67"/>
    <w:bookmarkStart w:id="68"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68"/>
    <w:bookmarkStart w:id="93"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70" name="Picture"/>
            <a:graphic>
              <a:graphicData uri="http://schemas.openxmlformats.org/drawingml/2006/picture">
                <pic:pic>
                  <pic:nvPicPr>
                    <pic:cNvPr descr="../figures/observed/F06-stage1-excess-ping.png" id="71" name="Picture"/>
                    <pic:cNvPicPr>
                      <a:picLocks noChangeArrowheads="1" noChangeAspect="1"/>
                    </pic:cNvPicPr>
                  </pic:nvPicPr>
                  <pic:blipFill>
                    <a:blip r:embed="rId69"/>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73" name="Picture"/>
            <a:graphic>
              <a:graphicData uri="http://schemas.openxmlformats.org/drawingml/2006/picture">
                <pic:pic>
                  <pic:nvPicPr>
                    <pic:cNvPr descr="../figures/observed/F07-stage1-edge-counters.png" id="74" name="Picture"/>
                    <pic:cNvPicPr>
                      <a:picLocks noChangeArrowheads="1" noChangeAspect="1"/>
                    </pic:cNvPicPr>
                  </pic:nvPicPr>
                  <pic:blipFill>
                    <a:blip r:embed="rId72"/>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76" name="Picture"/>
            <a:graphic>
              <a:graphicData uri="http://schemas.openxmlformats.org/drawingml/2006/picture">
                <pic:pic>
                  <pic:nvPicPr>
                    <pic:cNvPr descr="../figures/observed/F08-stage2-acl-counters.png" id="77" name="Picture"/>
                    <pic:cNvPicPr>
                      <a:picLocks noChangeArrowheads="1" noChangeAspect="1"/>
                    </pic:cNvPicPr>
                  </pic:nvPicPr>
                  <pic:blipFill>
                    <a:blip r:embed="rId75"/>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79" name="Picture"/>
            <a:graphic>
              <a:graphicData uri="http://schemas.openxmlformats.org/drawingml/2006/picture">
                <pic:pic>
                  <pic:nvPicPr>
                    <pic:cNvPr descr="../figures/observed/F09-stage2-dept-denied.png" id="80" name="Picture"/>
                    <pic:cNvPicPr>
                      <a:picLocks noChangeArrowheads="1" noChangeAspect="1"/>
                    </pic:cNvPicPr>
                  </pic:nvPicPr>
                  <pic:blipFill>
                    <a:blip r:embed="rId78"/>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82" name="Picture"/>
            <a:graphic>
              <a:graphicData uri="http://schemas.openxmlformats.org/drawingml/2006/picture">
                <pic:pic>
                  <pic:nvPicPr>
                    <pic:cNvPr descr="../figures/observed/F10-stage2-residual-T10.png" id="83" name="Picture"/>
                    <pic:cNvPicPr>
                      <a:picLocks noChangeArrowheads="1" noChangeAspect="1"/>
                    </pic:cNvPicPr>
                  </pic:nvPicPr>
                  <pic:blipFill>
                    <a:blip r:embed="rId81"/>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85" name="Picture"/>
            <a:graphic>
              <a:graphicData uri="http://schemas.openxmlformats.org/drawingml/2006/picture">
                <pic:pic>
                  <pic:nvPicPr>
                    <pic:cNvPr descr="../figures/observed/F11-stage3-acls.png" id="86" name="Picture"/>
                    <pic:cNvPicPr>
                      <a:picLocks noChangeArrowheads="1" noChangeAspect="1"/>
                    </pic:cNvPicPr>
                  </pic:nvPicPr>
                  <pic:blipFill>
                    <a:blip r:embed="rId84"/>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88" name="Picture"/>
            <a:graphic>
              <a:graphicData uri="http://schemas.openxmlformats.org/drawingml/2006/picture">
                <pic:pic>
                  <pic:nvPicPr>
                    <pic:cNvPr descr="../figures/observed/F13-stage3-T10-denied.png" id="89" name="Picture"/>
                    <pic:cNvPicPr>
                      <a:picLocks noChangeArrowheads="1" noChangeAspect="1"/>
                    </pic:cNvPicPr>
                  </pic:nvPicPr>
                  <pic:blipFill>
                    <a:blip r:embed="rId87"/>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91" name="Picture"/>
            <a:graphic>
              <a:graphicData uri="http://schemas.openxmlformats.org/drawingml/2006/picture">
                <pic:pic>
                  <pic:nvPicPr>
                    <pic:cNvPr descr="../figures/observed/F12-stage3-T04-ftp.png" id="92" name="Picture"/>
                    <pic:cNvPicPr>
                      <a:picLocks noChangeArrowheads="1" noChangeAspect="1"/>
                    </pic:cNvPicPr>
                  </pic:nvPicPr>
                  <pic:blipFill>
                    <a:blip r:embed="rId90"/>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93"/>
    <w:bookmarkStart w:id="94"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94"/>
    <w:bookmarkStart w:id="95"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95"/>
    <w:bookmarkEnd w:id="96"/>
    <w:bookmarkStart w:id="97"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8 in Stage 3 (plus two extra tests); counts therefore describe the evidenced tests only. The misconfiguration experiments were not run, and zero-hit entries and configuration-line changes were not measured.</w:t>
      </w:r>
    </w:p>
    <w:p>
      <w:r>
        <w:br w:type="page"/>
      </w:r>
    </w:p>
    <w:bookmarkEnd w:id="97"/>
    <w:bookmarkStart w:id="98" w:name="individual-contribution-statement"/>
    <w:p>
      <w:pPr>
        <w:pStyle w:val="Heading1"/>
      </w:pPr>
      <w:r>
        <w:t xml:space="preserve">Individual Contribution Statement</w:t>
      </w:r>
    </w:p>
    <w:p>
      <w:pPr>
        <w:pStyle w:val="FirstParagraph"/>
        <w:keepNext/>
      </w:pPr>
      <w:r>
        <w:t xml:space="preserve">All five members contributed equally to one integrated project; nobody owned a separate topic. Each member led one area, reviewed another member’s work, and shared in reading the core sources, writing critical-analysis notes and preparing for the viva.</w:t>
      </w:r>
    </w:p>
    <w:tbl>
      <w:tblPr>
        <w:tblStyle w:val="Table"/>
        <w:tblW w:type="pct" w:w="5000"/>
        <w:jc w:val="left"/>
        <w:tblLook w:firstRow="1" w:lastRow="0" w:firstColumn="0" w:lastColumn="0" w:noHBand="0" w:noVBand="0" w:val="0020"/>
      </w:tblPr>
      <w:tblGrid>
        <w:gridCol w:w="1680"/>
        <w:gridCol w:w="1080"/>
        <w:gridCol w:w="4320"/>
        <w:gridCol w:w="840"/>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Main contributions</w:t>
            </w:r>
          </w:p>
        </w:tc>
        <w:tc>
          <w:tcPr/>
          <w:p>
            <w:pPr>
              <w:pStyle w:val="Compact"/>
              <w:keepNext/>
              <w:jc w:val="left"/>
            </w:pPr>
            <w:r>
              <w:rPr>
                <w:b/>
              </w:rPr>
              <w:t xml:space="preserve">Share</w:t>
            </w:r>
          </w:p>
        </w:tc>
      </w:tr>
      <w:tr>
        <w:trPr>
          <w:cantSplit/>
        </w:trPr>
        <w:tc>
          <w:tcPr/>
          <w:p>
            <w:pPr>
              <w:pStyle w:val="Compact"/>
              <w:keepNext/>
              <w:jc w:val="left"/>
            </w:pPr>
            <w:r>
              <w:t xml:space="preserve">Ramsrivathsan R</w:t>
            </w:r>
          </w:p>
        </w:tc>
        <w:tc>
          <w:tcPr/>
          <w:p>
            <w:pPr>
              <w:pStyle w:val="Compact"/>
              <w:keepNext/>
              <w:jc w:val="left"/>
            </w:pPr>
            <w:r>
              <w:t xml:space="preserve">25BCE2111</w:t>
            </w:r>
          </w:p>
        </w:tc>
        <w:tc>
          <w:tcPr/>
          <w:p>
            <w:pPr>
              <w:pStyle w:val="Compact"/>
              <w:keepNext/>
              <w:jc w:val="left"/>
            </w:pPr>
            <w:r>
              <w:t xml:space="preserve">Network design and Packet Tracer configuration (B4–B6); review of the test plan</w:t>
            </w:r>
          </w:p>
        </w:tc>
        <w:tc>
          <w:tcPr/>
          <w:p>
            <w:pPr>
              <w:pStyle w:val="Compact"/>
              <w:keepNext/>
              <w:jc w:val="left"/>
            </w:pPr>
            <w:r>
              <w:t xml:space="preserve">20%</w:t>
            </w:r>
          </w:p>
        </w:tc>
      </w:tr>
      <w:tr>
        <w:trPr>
          <w:cantSplit/>
        </w:trPr>
        <w:tc>
          <w:tcPr/>
          <w:p>
            <w:pPr>
              <w:pStyle w:val="Compact"/>
              <w:keepNext/>
              <w:jc w:val="left"/>
            </w:pPr>
            <w:r>
              <w:t xml:space="preserve">S Darshan</w:t>
            </w:r>
          </w:p>
        </w:tc>
        <w:tc>
          <w:tcPr/>
          <w:p>
            <w:pPr>
              <w:pStyle w:val="Compact"/>
              <w:keepNext/>
              <w:jc w:val="left"/>
            </w:pPr>
            <w:r>
              <w:t xml:space="preserve">25BCE2883</w:t>
            </w:r>
          </w:p>
        </w:tc>
        <w:tc>
          <w:tcPr/>
          <w:p>
            <w:pPr>
              <w:pStyle w:val="Compact"/>
              <w:keepNext/>
              <w:jc w:val="left"/>
            </w:pPr>
            <w:r>
              <w:t xml:space="preserve">Test plan, results and evidence (B7, B9); coordination of the simulation work</w:t>
            </w:r>
          </w:p>
        </w:tc>
        <w:tc>
          <w:tcPr/>
          <w:p>
            <w:pPr>
              <w:pStyle w:val="Compact"/>
              <w:keepNext/>
              <w:jc w:val="left"/>
            </w:pPr>
            <w:r>
              <w:t xml:space="preserve">20%</w:t>
            </w:r>
          </w:p>
        </w:tc>
      </w:tr>
      <w:tr>
        <w:trPr>
          <w:cantSplit/>
        </w:trPr>
        <w:tc>
          <w:tcPr/>
          <w:p>
            <w:pPr>
              <w:pStyle w:val="Compact"/>
              <w:keepNext/>
              <w:jc w:val="left"/>
            </w:pPr>
            <w:r>
              <w:t xml:space="preserve">M B Adavan</w:t>
            </w:r>
          </w:p>
        </w:tc>
        <w:tc>
          <w:tcPr/>
          <w:p>
            <w:pPr>
              <w:pStyle w:val="Compact"/>
              <w:keepNext/>
              <w:jc w:val="left"/>
            </w:pPr>
            <w:r>
              <w:t xml:space="preserve">25BCE0063</w:t>
            </w:r>
          </w:p>
        </w:tc>
        <w:tc>
          <w:tcPr/>
          <w:p>
            <w:pPr>
              <w:pStyle w:val="Compact"/>
              <w:keepNext/>
              <w:jc w:val="left"/>
            </w:pPr>
            <w:r>
              <w:t xml:space="preserve">Literature review and comparison (Part A, Table 1); review of Part C</w:t>
            </w:r>
          </w:p>
        </w:tc>
        <w:tc>
          <w:tcPr/>
          <w:p>
            <w:pPr>
              <w:pStyle w:val="Compact"/>
              <w:keepNext/>
              <w:jc w:val="left"/>
            </w:pPr>
            <w:r>
              <w:t xml:space="preserve">20%</w:t>
            </w:r>
          </w:p>
        </w:tc>
      </w:tr>
      <w:tr>
        <w:trPr>
          <w:cantSplit/>
        </w:trPr>
        <w:tc>
          <w:tcPr/>
          <w:p>
            <w:pPr>
              <w:pStyle w:val="Compact"/>
              <w:keepNext/>
              <w:jc w:val="left"/>
            </w:pPr>
            <w:r>
              <w:t xml:space="preserve">Naveen V S</w:t>
            </w:r>
          </w:p>
        </w:tc>
        <w:tc>
          <w:tcPr/>
          <w:p>
            <w:pPr>
              <w:pStyle w:val="Compact"/>
              <w:keepNext/>
              <w:jc w:val="left"/>
            </w:pPr>
            <w:r>
              <w:t xml:space="preserve">25BCE0059</w:t>
            </w:r>
          </w:p>
        </w:tc>
        <w:tc>
          <w:tcPr/>
          <w:p>
            <w:pPr>
              <w:pStyle w:val="Compact"/>
              <w:keepNext/>
              <w:jc w:val="left"/>
            </w:pPr>
            <w:r>
              <w:t xml:space="preserve">References, standards sections and citations (Part A §2.1, §2.4); review of Part A</w:t>
            </w:r>
          </w:p>
        </w:tc>
        <w:tc>
          <w:tcPr/>
          <w:p>
            <w:pPr>
              <w:pStyle w:val="Compact"/>
              <w:keepNext/>
              <w:jc w:val="left"/>
            </w:pPr>
            <w:r>
              <w:t xml:space="preserve">20%</w:t>
            </w:r>
          </w:p>
        </w:tc>
      </w:tr>
      <w:tr>
        <w:trPr>
          <w:cantSplit/>
        </w:trPr>
        <w:tc>
          <w:tcPr/>
          <w:p>
            <w:pPr>
              <w:pStyle w:val="Compact"/>
              <w:jc w:val="left"/>
            </w:pPr>
            <w:r>
              <w:t xml:space="preserve">Himaneesh S</w:t>
            </w:r>
          </w:p>
        </w:tc>
        <w:tc>
          <w:tcPr/>
          <w:p>
            <w:pPr>
              <w:pStyle w:val="Compact"/>
              <w:jc w:val="left"/>
            </w:pPr>
            <w:r>
              <w:t xml:space="preserve">25BAI0007</w:t>
            </w:r>
          </w:p>
        </w:tc>
        <w:tc>
          <w:tcPr/>
          <w:p>
            <w:pPr>
              <w:pStyle w:val="Compact"/>
              <w:jc w:val="left"/>
            </w:pPr>
            <w:r>
              <w:t xml:space="preserve">Packet Tracer build and test runs for Stages 0–3 (screenshots); requirements, metrics and Part C (B1–B3, B8, Part C)</w:t>
            </w:r>
          </w:p>
        </w:tc>
        <w:tc>
          <w:tcPr/>
          <w:p>
            <w:pPr>
              <w:pStyle w:val="Compact"/>
              <w:jc w:val="left"/>
            </w:pPr>
            <w:r>
              <w:t xml:space="preserve">20%</w:t>
            </w:r>
          </w:p>
        </w:tc>
      </w:tr>
    </w:tbl>
    <w:bookmarkEnd w:id="98"/>
    <w:bookmarkStart w:id="99"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99"/>
    <w:bookmarkStart w:id="103" w:name="Xd6d1d36a7b0b5db74495f591a71ef6f485a54a2"/>
    <w:p>
      <w:pPr>
        <w:pStyle w:val="Heading1"/>
      </w:pPr>
      <w:r>
        <w:t xml:space="preserve">Appendix B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100"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100"/>
    <w:bookmarkStart w:id="101"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101"/>
    <w:bookmarkStart w:id="102"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102"/>
    <w:bookmarkEnd w:id="103"/>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 Id="rIdFooterPg"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2026-10-24T17:34:52Z</dcterms:created>
  <dcterms:modified xsi:type="dcterms:W3CDTF">2026-10-24T17:34:52Z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