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4.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72.png" ContentType="image/png"/>
  <Override PartName="/word/media/rId6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pPr>
          </w:p>
        </w:tc>
      </w:tr>
      <w:tr>
        <w:trPr>
          <w:cantSplit/>
        </w:trPr>
        <w:tc>
          <w:tcPr/>
          <w:p>
            <w:pPr>
              <w:pStyle w:val="Compact"/>
              <w:keepNext/>
              <w:jc w:val="left"/>
            </w:pPr>
            <w:r>
              <w:rPr>
                <w:bCs/>
                <w:b/>
              </w:rPr>
              <w:t xml:space="preserve">Member 1</w:t>
            </w:r>
          </w:p>
        </w:tc>
        <w:tc>
          <w:tcPr/>
          <w:p>
            <w:pPr>
              <w:pStyle w:val="Compact"/>
              <w:keepNext/>
              <w:jc w:val="left"/>
            </w:pPr>
            <w:r>
              <w:t xml:space="preserve">Ram —</w:t>
            </w:r>
          </w:p>
        </w:tc>
      </w:tr>
      <w:tr>
        <w:trPr>
          <w:cantSplit/>
        </w:trPr>
        <w:tc>
          <w:tcPr/>
          <w:p>
            <w:pPr>
              <w:pStyle w:val="Compact"/>
              <w:keepNext/>
              <w:jc w:val="left"/>
            </w:pPr>
            <w:r>
              <w:rPr>
                <w:bCs/>
                <w:b/>
              </w:rPr>
              <w:t xml:space="preserve">Member 2</w:t>
            </w:r>
          </w:p>
        </w:tc>
        <w:tc>
          <w:tcPr/>
          <w:p>
            <w:pPr>
              <w:pStyle w:val="Compact"/>
              <w:keepNext/>
              <w:jc w:val="left"/>
            </w:pPr>
            <w:r>
              <w:t xml:space="preserve">Darshan —</w:t>
            </w:r>
          </w:p>
        </w:tc>
      </w:tr>
      <w:tr>
        <w:trPr>
          <w:cantSplit/>
        </w:trPr>
        <w:tc>
          <w:tcPr/>
          <w:p>
            <w:pPr>
              <w:pStyle w:val="Compact"/>
              <w:keepNext/>
              <w:jc w:val="left"/>
            </w:pPr>
            <w:r>
              <w:rPr>
                <w:bCs/>
                <w:b/>
              </w:rPr>
              <w:t xml:space="preserve">Member 3</w:t>
            </w:r>
          </w:p>
        </w:tc>
        <w:tc>
          <w:tcPr/>
          <w:p>
            <w:pPr>
              <w:pStyle w:val="Compact"/>
              <w:keepNext/>
              <w:jc w:val="left"/>
            </w:pPr>
            <w:r>
              <w:t xml:space="preserve">Aadhavan —</w:t>
            </w:r>
          </w:p>
        </w:tc>
      </w:tr>
      <w:tr>
        <w:trPr>
          <w:cantSplit/>
        </w:trPr>
        <w:tc>
          <w:tcPr/>
          <w:p>
            <w:pPr>
              <w:pStyle w:val="Compact"/>
              <w:keepNext/>
              <w:jc w:val="left"/>
            </w:pPr>
            <w:r>
              <w:rPr>
                <w:bCs/>
                <w:b/>
              </w:rPr>
              <w:t xml:space="preserve">Member 4</w:t>
            </w:r>
          </w:p>
        </w:tc>
        <w:tc>
          <w:tcPr/>
          <w:p>
            <w:pPr>
              <w:pStyle w:val="Compact"/>
              <w:keepNext/>
              <w:jc w:val="left"/>
            </w:pPr>
            <w:r>
              <w:t xml:space="preserve">Naveen —</w:t>
            </w:r>
          </w:p>
        </w:tc>
      </w:tr>
      <w:tr>
        <w:trPr>
          <w:cantSplit/>
        </w:trPr>
        <w:tc>
          <w:tcPr/>
          <w:p>
            <w:pPr>
              <w:pStyle w:val="Compact"/>
              <w:keepNext/>
              <w:jc w:val="left"/>
            </w:pPr>
            <w:r>
              <w:rPr>
                <w:bCs/>
                <w:b/>
              </w:rPr>
              <w:t xml:space="preserve">Member 5</w:t>
            </w:r>
          </w:p>
        </w:tc>
        <w:tc>
          <w:tcPr/>
          <w:p>
            <w:pPr>
              <w:pStyle w:val="Compact"/>
              <w:keepNext/>
              <w:jc w:val="left"/>
            </w:pPr>
            <w:r>
              <w:t xml:space="preserve">Himenesh —</w:t>
            </w:r>
          </w:p>
        </w:tc>
      </w:tr>
      <w:tr>
        <w:trPr>
          <w:cantSplit/>
        </w:trPr>
        <w:tc>
          <w:tcPr/>
          <w:p>
            <w:pPr>
              <w:pStyle w:val="Compact"/>
              <w:keepNext/>
              <w:jc w:val="left"/>
            </w:pPr>
            <w:r>
              <w:rPr>
                <w:bCs/>
                <w:b/>
              </w:rPr>
              <w:t xml:space="preserve">Faculty</w:t>
            </w:r>
          </w:p>
        </w:tc>
        <w:tc>
          <w:tcPr/>
          <w:p>
            <w:pPr>
              <w:pStyle w:val="Compact"/>
              <w:keepNext/>
            </w:pPr>
          </w:p>
        </w:tc>
      </w:tr>
      <w:tr>
        <w:trPr>
          <w:cantSplit/>
        </w:trPr>
        <w:tc>
          <w:tcPr/>
          <w:p>
            <w:pPr>
              <w:pStyle w:val="Compact"/>
              <w:jc w:val="left"/>
            </w:pPr>
            <w:r>
              <w:rPr>
                <w:bCs/>
                <w:b/>
              </w:rPr>
              <w:t xml:space="preserve">Submission date</w:t>
            </w:r>
          </w:p>
        </w:tc>
        <w:tc>
          <w:tcPr/>
          <w:p>
            <w:pPr>
              <w:pStyle w:val="Compact"/>
              <w:jc w:val="left"/>
            </w:pPr>
            <w:r>
              <w:t xml:space="preserve">20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The bibliographic details of every entry were checked online during drafting on 2026-10-08 (Appendix B); DOIs or URLs are given only where an authoritative listing showed them. The team has not yet checked the claims against the full texts.</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78"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34"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34"/>
    <w:bookmarkStart w:id="35"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35"/>
    <w:bookmarkStart w:id="36"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40"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38" name="Picture"/>
            <a:graphic>
              <a:graphicData uri="http://schemas.openxmlformats.org/drawingml/2006/picture">
                <pic:pic>
                  <pic:nvPicPr>
                    <pic:cNvPr descr="../figures/design-topology.png" id="39" name="Picture"/>
                    <pic:cNvPicPr>
                      <a:picLocks noChangeArrowheads="1" noChangeAspect="1"/>
                    </pic:cNvPicPr>
                  </pic:nvPicPr>
                  <pic:blipFill>
                    <a:blip r:embed="rId37"/>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40"/>
    <w:bookmarkStart w:id="47"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42" name="Picture"/>
            <a:graphic>
              <a:graphicData uri="http://schemas.openxmlformats.org/drawingml/2006/picture">
                <pic:pic>
                  <pic:nvPicPr>
                    <pic:cNvPr descr="../figures/observed/F03-stage0-rcore-interfaces.png" id="43" name="Picture"/>
                    <pic:cNvPicPr>
                      <a:picLocks noChangeArrowheads="1" noChangeAspect="1"/>
                    </pic:cNvPicPr>
                  </pic:nvPicPr>
                  <pic:blipFill>
                    <a:blip r:embed="rId41"/>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45" name="Picture"/>
            <a:graphic>
              <a:graphicData uri="http://schemas.openxmlformats.org/drawingml/2006/picture">
                <pic:pic>
                  <pic:nvPicPr>
                    <pic:cNvPr descr="../figures/observed/F04-stage0-sales-ssh-open.png" id="46" name="Picture"/>
                    <pic:cNvPicPr>
                      <a:picLocks noChangeArrowheads="1" noChangeAspect="1"/>
                    </pic:cNvPicPr>
                  </pic:nvPicPr>
                  <pic:blipFill>
                    <a:blip r:embed="rId44"/>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47"/>
    <w:bookmarkStart w:id="48"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48"/>
    <w:bookmarkStart w:id="49"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49"/>
    <w:bookmarkStart w:id="50"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50"/>
    <w:bookmarkStart w:id="75"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52" name="Picture"/>
            <a:graphic>
              <a:graphicData uri="http://schemas.openxmlformats.org/drawingml/2006/picture">
                <pic:pic>
                  <pic:nvPicPr>
                    <pic:cNvPr descr="../figures/observed/F06-stage1-excess-ping.png" id="53" name="Picture"/>
                    <pic:cNvPicPr>
                      <a:picLocks noChangeArrowheads="1" noChangeAspect="1"/>
                    </pic:cNvPicPr>
                  </pic:nvPicPr>
                  <pic:blipFill>
                    <a:blip r:embed="rId51"/>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55" name="Picture"/>
            <a:graphic>
              <a:graphicData uri="http://schemas.openxmlformats.org/drawingml/2006/picture">
                <pic:pic>
                  <pic:nvPicPr>
                    <pic:cNvPr descr="../figures/observed/F07-stage1-edge-counters.png" id="56" name="Picture"/>
                    <pic:cNvPicPr>
                      <a:picLocks noChangeArrowheads="1" noChangeAspect="1"/>
                    </pic:cNvPicPr>
                  </pic:nvPicPr>
                  <pic:blipFill>
                    <a:blip r:embed="rId54"/>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58" name="Picture"/>
            <a:graphic>
              <a:graphicData uri="http://schemas.openxmlformats.org/drawingml/2006/picture">
                <pic:pic>
                  <pic:nvPicPr>
                    <pic:cNvPr descr="../figures/observed/F08-stage2-acl-counters.png" id="59" name="Picture"/>
                    <pic:cNvPicPr>
                      <a:picLocks noChangeArrowheads="1" noChangeAspect="1"/>
                    </pic:cNvPicPr>
                  </pic:nvPicPr>
                  <pic:blipFill>
                    <a:blip r:embed="rId57"/>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61" name="Picture"/>
            <a:graphic>
              <a:graphicData uri="http://schemas.openxmlformats.org/drawingml/2006/picture">
                <pic:pic>
                  <pic:nvPicPr>
                    <pic:cNvPr descr="../figures/observed/F09-stage2-dept-denied.png" id="62" name="Picture"/>
                    <pic:cNvPicPr>
                      <a:picLocks noChangeArrowheads="1" noChangeAspect="1"/>
                    </pic:cNvPicPr>
                  </pic:nvPicPr>
                  <pic:blipFill>
                    <a:blip r:embed="rId60"/>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64" name="Picture"/>
            <a:graphic>
              <a:graphicData uri="http://schemas.openxmlformats.org/drawingml/2006/picture">
                <pic:pic>
                  <pic:nvPicPr>
                    <pic:cNvPr descr="../figures/observed/F10-stage2-residual-T10.png" id="65" name="Picture"/>
                    <pic:cNvPicPr>
                      <a:picLocks noChangeArrowheads="1" noChangeAspect="1"/>
                    </pic:cNvPicPr>
                  </pic:nvPicPr>
                  <pic:blipFill>
                    <a:blip r:embed="rId63"/>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67" name="Picture"/>
            <a:graphic>
              <a:graphicData uri="http://schemas.openxmlformats.org/drawingml/2006/picture">
                <pic:pic>
                  <pic:nvPicPr>
                    <pic:cNvPr descr="../figures/observed/F11-stage3-acls.png" id="68" name="Picture"/>
                    <pic:cNvPicPr>
                      <a:picLocks noChangeArrowheads="1" noChangeAspect="1"/>
                    </pic:cNvPicPr>
                  </pic:nvPicPr>
                  <pic:blipFill>
                    <a:blip r:embed="rId66"/>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70" name="Picture"/>
            <a:graphic>
              <a:graphicData uri="http://schemas.openxmlformats.org/drawingml/2006/picture">
                <pic:pic>
                  <pic:nvPicPr>
                    <pic:cNvPr descr="../figures/observed/F13-stage3-T10-denied.png" id="71" name="Picture"/>
                    <pic:cNvPicPr>
                      <a:picLocks noChangeArrowheads="1" noChangeAspect="1"/>
                    </pic:cNvPicPr>
                  </pic:nvPicPr>
                  <pic:blipFill>
                    <a:blip r:embed="rId69"/>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73" name="Picture"/>
            <a:graphic>
              <a:graphicData uri="http://schemas.openxmlformats.org/drawingml/2006/picture">
                <pic:pic>
                  <pic:nvPicPr>
                    <pic:cNvPr descr="../figures/observed/F12-stage3-T04-ftp.png" id="74" name="Picture"/>
                    <pic:cNvPicPr>
                      <a:picLocks noChangeArrowheads="1" noChangeAspect="1"/>
                    </pic:cNvPicPr>
                  </pic:nvPicPr>
                  <pic:blipFill>
                    <a:blip r:embed="rId72"/>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75"/>
    <w:bookmarkStart w:id="76"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76"/>
    <w:bookmarkStart w:id="77"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77"/>
    <w:bookmarkEnd w:id="78"/>
    <w:bookmarkStart w:id="79"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7 in Stage 3 (plus two extra tests); counts therefore describe the evidenced tests only. The misconfiguration experiments were not run, and zero-hit entries and configuration-line changes were not measured.</w:t>
      </w:r>
    </w:p>
    <w:p>
      <w:r>
        <w:br w:type="page"/>
      </w:r>
    </w:p>
    <w:bookmarkEnd w:id="79"/>
    <w:bookmarkStart w:id="80" w:name="individual-contribution-statement"/>
    <w:p>
      <w:pPr>
        <w:pStyle w:val="Heading1"/>
      </w:pPr>
      <w:r>
        <w:t xml:space="preserve">Individual Contribution Statement</w:t>
      </w:r>
    </w:p>
    <w:p>
      <w:pPr>
        <w:pStyle w:val="FirstParagraph"/>
      </w:pPr>
      <w:r>
        <w:t xml:space="preserve">All five members worked on one integrated project; nobody owned a separate topic. Each member led one functional area and reviewed another member’s work. Shared by everyone: reading the core sources, critical-analysis notes and viva preparation.</w:t>
      </w:r>
    </w:p>
    <w:p>
      <w:pPr>
        <w:pStyle w:val="BodyText"/>
        <w:keepNext/>
      </w:pPr>
      <w:r>
        <w:t xml:space="preserve">The rows list each member’s area of responsibility. The Packet Tracer build and test runs were carried out with help from ____________________ (not a team member), whose contribution we acknowledge.</w:t>
      </w:r>
    </w:p>
    <w:tbl>
      <w:tblPr>
        <w:tblStyle w:val="Table"/>
        <w:tblW w:type="pct" w:w="5000"/>
        <w:jc w:val="left"/>
        <w:tblLook w:firstRow="1" w:lastRow="0" w:firstColumn="0" w:lastColumn="0" w:noHBand="0" w:noVBand="0" w:val="0020"/>
      </w:tblPr>
      <w:tblGrid>
        <w:gridCol w:w="889"/>
        <w:gridCol w:w="800"/>
        <w:gridCol w:w="1067"/>
        <w:gridCol w:w="2313"/>
        <w:gridCol w:w="1423"/>
        <w:gridCol w:w="889"/>
        <w:gridCol w:w="533"/>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Role</w:t>
            </w:r>
          </w:p>
        </w:tc>
        <w:tc>
          <w:tcPr/>
          <w:p>
            <w:pPr>
              <w:pStyle w:val="Compact"/>
              <w:keepNext/>
              <w:jc w:val="left"/>
            </w:pPr>
            <w:r>
              <w:rPr>
                <w:b/>
              </w:rPr>
              <w:t xml:space="preserve">Responsibilities</w:t>
            </w:r>
          </w:p>
        </w:tc>
        <w:tc>
          <w:tcPr/>
          <w:p>
            <w:pPr>
              <w:pStyle w:val="Compact"/>
              <w:keepNext/>
              <w:jc w:val="left"/>
            </w:pPr>
            <w:r>
              <w:rPr>
                <w:b/>
              </w:rPr>
              <w:t xml:space="preserve">Reviewed / verified</w:t>
            </w:r>
          </w:p>
        </w:tc>
        <w:tc>
          <w:tcPr/>
          <w:p>
            <w:pPr>
              <w:pStyle w:val="Compact"/>
              <w:keepNext/>
              <w:jc w:val="left"/>
            </w:pPr>
            <w:r>
              <w:rPr>
                <w:b/>
              </w:rPr>
              <w:t xml:space="preserve">Viva</w:t>
            </w:r>
          </w:p>
        </w:tc>
        <w:tc>
          <w:tcPr/>
          <w:p>
            <w:pPr>
              <w:pStyle w:val="Compact"/>
              <w:keepNext/>
              <w:jc w:val="left"/>
            </w:pPr>
            <w:r>
              <w:rPr>
                <w:b/>
              </w:rPr>
              <w:t xml:space="preserve">Sign</w:t>
            </w:r>
          </w:p>
        </w:tc>
      </w:tr>
      <w:tr>
        <w:trPr>
          <w:cantSplit/>
        </w:trPr>
        <w:tc>
          <w:tcPr/>
          <w:p>
            <w:pPr>
              <w:pStyle w:val="Compact"/>
              <w:keepNext/>
              <w:jc w:val="left"/>
            </w:pPr>
            <w:r>
              <w:t xml:space="preserve">Ram</w:t>
            </w:r>
          </w:p>
        </w:tc>
        <w:tc>
          <w:tcPr/>
          <w:p>
            <w:pPr>
              <w:pStyle w:val="Compact"/>
              <w:keepNext/>
            </w:pPr>
          </w:p>
        </w:tc>
        <w:tc>
          <w:tcPr/>
          <w:p>
            <w:pPr>
              <w:pStyle w:val="Compact"/>
              <w:keepNext/>
              <w:jc w:val="left"/>
            </w:pPr>
            <w:r>
              <w:t xml:space="preserve">Network build</w:t>
            </w:r>
          </w:p>
        </w:tc>
        <w:tc>
          <w:tcPr/>
          <w:p>
            <w:pPr>
              <w:pStyle w:val="Compact"/>
              <w:keepNext/>
              <w:jc w:val="left"/>
            </w:pPr>
            <w:r>
              <w:t xml:space="preserve">Topology and addressing plan; Stage 0 build in Packet Tracer; applying the Stage 1–3 scripts; saving running configurations; pilot steps P3, P7, P8</w:t>
            </w:r>
          </w:p>
        </w:tc>
        <w:tc>
          <w:tcPr/>
          <w:p>
            <w:pPr>
              <w:pStyle w:val="Compact"/>
              <w:keepNext/>
              <w:jc w:val="left"/>
            </w:pPr>
            <w:r>
              <w:t xml:space="preserve">Test matrix expectations against the configurations (with Darshan)</w:t>
            </w:r>
          </w:p>
        </w:tc>
        <w:tc>
          <w:tcPr/>
          <w:p>
            <w:pPr>
              <w:pStyle w:val="Compact"/>
              <w:keepNext/>
              <w:jc w:val="left"/>
            </w:pPr>
            <w:r>
              <w:t xml:space="preserve">B4–B6</w:t>
            </w:r>
          </w:p>
        </w:tc>
        <w:tc>
          <w:tcPr/>
          <w:p>
            <w:pPr>
              <w:pStyle w:val="Compact"/>
              <w:keepNext/>
            </w:pPr>
          </w:p>
        </w:tc>
      </w:tr>
      <w:tr>
        <w:trPr>
          <w:cantSplit/>
        </w:trPr>
        <w:tc>
          <w:tcPr/>
          <w:p>
            <w:pPr>
              <w:pStyle w:val="Compact"/>
              <w:keepNext/>
              <w:jc w:val="left"/>
            </w:pPr>
            <w:r>
              <w:t xml:space="preserve">Darshan</w:t>
            </w:r>
          </w:p>
        </w:tc>
        <w:tc>
          <w:tcPr/>
          <w:p>
            <w:pPr>
              <w:pStyle w:val="Compact"/>
              <w:keepNext/>
            </w:pPr>
          </w:p>
        </w:tc>
        <w:tc>
          <w:tcPr/>
          <w:p>
            <w:pPr>
              <w:pStyle w:val="Compact"/>
              <w:keepNext/>
              <w:jc w:val="left"/>
            </w:pPr>
            <w:r>
              <w:t xml:space="preserve">Testing and evidence</w:t>
            </w:r>
          </w:p>
        </w:tc>
        <w:tc>
          <w:tcPr/>
          <w:p>
            <w:pPr>
              <w:pStyle w:val="Compact"/>
              <w:keepNext/>
              <w:jc w:val="left"/>
            </w:pPr>
            <w:r>
              <w:t xml:space="preserve">Test matrix and pass/fail criteria; running the 17 tests in Stages 0–3; results table; screenshots F01–F19</w:t>
            </w:r>
          </w:p>
        </w:tc>
        <w:tc>
          <w:tcPr/>
          <w:p>
            <w:pPr>
              <w:pStyle w:val="Compact"/>
              <w:keepNext/>
              <w:jc w:val="left"/>
            </w:pPr>
            <w:r>
              <w:t xml:space="preserve">Stage scripts against the requirements (with Ram)</w:t>
            </w:r>
          </w:p>
        </w:tc>
        <w:tc>
          <w:tcPr/>
          <w:p>
            <w:pPr>
              <w:pStyle w:val="Compact"/>
              <w:keepNext/>
              <w:jc w:val="left"/>
            </w:pPr>
            <w:r>
              <w:t xml:space="preserve">B7, B9</w:t>
            </w:r>
          </w:p>
        </w:tc>
        <w:tc>
          <w:tcPr/>
          <w:p>
            <w:pPr>
              <w:pStyle w:val="Compact"/>
              <w:keepNext/>
            </w:pPr>
          </w:p>
        </w:tc>
      </w:tr>
      <w:tr>
        <w:trPr>
          <w:cantSplit/>
        </w:trPr>
        <w:tc>
          <w:tcPr/>
          <w:p>
            <w:pPr>
              <w:pStyle w:val="Compact"/>
              <w:keepNext/>
              <w:jc w:val="left"/>
            </w:pPr>
            <w:r>
              <w:t xml:space="preserve">Aadhavan</w:t>
            </w:r>
          </w:p>
        </w:tc>
        <w:tc>
          <w:tcPr/>
          <w:p>
            <w:pPr>
              <w:pStyle w:val="Compact"/>
              <w:keepNext/>
            </w:pPr>
          </w:p>
        </w:tc>
        <w:tc>
          <w:tcPr/>
          <w:p>
            <w:pPr>
              <w:pStyle w:val="Compact"/>
              <w:keepNext/>
              <w:jc w:val="left"/>
            </w:pPr>
            <w:r>
              <w:t xml:space="preserve">Literature</w:t>
            </w:r>
          </w:p>
        </w:tc>
        <w:tc>
          <w:tcPr/>
          <w:p>
            <w:pPr>
              <w:pStyle w:val="Compact"/>
              <w:keepNext/>
              <w:jc w:val="left"/>
            </w:pPr>
            <w:r>
              <w:t xml:space="preserve">Literature search; Part A Sections 1–4 in own words; comparison table (Table 1)</w:t>
            </w:r>
          </w:p>
        </w:tc>
        <w:tc>
          <w:tcPr/>
          <w:p>
            <w:pPr>
              <w:pStyle w:val="Compact"/>
              <w:keepNext/>
              <w:jc w:val="left"/>
            </w:pPr>
            <w:r>
              <w:t xml:space="preserve">Reference claims for [1], [2], [9]–[13]</w:t>
            </w:r>
          </w:p>
        </w:tc>
        <w:tc>
          <w:tcPr/>
          <w:p>
            <w:pPr>
              <w:pStyle w:val="Compact"/>
              <w:keepNext/>
              <w:jc w:val="left"/>
            </w:pPr>
            <w:r>
              <w:t xml:space="preserve">Part A</w:t>
            </w:r>
          </w:p>
        </w:tc>
        <w:tc>
          <w:tcPr/>
          <w:p>
            <w:pPr>
              <w:pStyle w:val="Compact"/>
              <w:keepNext/>
            </w:pPr>
          </w:p>
        </w:tc>
      </w:tr>
      <w:tr>
        <w:trPr>
          <w:cantSplit/>
        </w:trPr>
        <w:tc>
          <w:tcPr/>
          <w:p>
            <w:pPr>
              <w:pStyle w:val="Compact"/>
              <w:keepNext/>
              <w:jc w:val="left"/>
            </w:pPr>
            <w:r>
              <w:t xml:space="preserve">Naveen</w:t>
            </w:r>
          </w:p>
        </w:tc>
        <w:tc>
          <w:tcPr/>
          <w:p>
            <w:pPr>
              <w:pStyle w:val="Compact"/>
              <w:keepNext/>
            </w:pPr>
          </w:p>
        </w:tc>
        <w:tc>
          <w:tcPr/>
          <w:p>
            <w:pPr>
              <w:pStyle w:val="Compact"/>
              <w:keepNext/>
              <w:jc w:val="left"/>
            </w:pPr>
            <w:r>
              <w:t xml:space="preserve">Citations and standards</w:t>
            </w:r>
          </w:p>
        </w:tc>
        <w:tc>
          <w:tcPr/>
          <w:p>
            <w:pPr>
              <w:pStyle w:val="Compact"/>
              <w:keepNext/>
              <w:jc w:val="left"/>
            </w:pPr>
            <w:r>
              <w:t xml:space="preserve">Reference list and verification record (Appendix B); standards sections ([3]–[7], [15], [16]); Stage 1 terminology check</w:t>
            </w:r>
          </w:p>
        </w:tc>
        <w:tc>
          <w:tcPr/>
          <w:p>
            <w:pPr>
              <w:pStyle w:val="Compact"/>
              <w:keepNext/>
              <w:jc w:val="left"/>
            </w:pPr>
            <w:r>
              <w:t xml:space="preserve">Citations in Parts A–C; full-text checks</w:t>
            </w:r>
          </w:p>
        </w:tc>
        <w:tc>
          <w:tcPr/>
          <w:p>
            <w:pPr>
              <w:pStyle w:val="Compact"/>
              <w:keepNext/>
              <w:jc w:val="left"/>
            </w:pPr>
            <w:r>
              <w:t xml:space="preserve">References, Part A §2.1, §2.4</w:t>
            </w:r>
          </w:p>
        </w:tc>
        <w:tc>
          <w:tcPr/>
          <w:p>
            <w:pPr>
              <w:pStyle w:val="Compact"/>
              <w:keepNext/>
            </w:pPr>
          </w:p>
        </w:tc>
      </w:tr>
      <w:tr>
        <w:trPr>
          <w:cantSplit/>
        </w:trPr>
        <w:tc>
          <w:tcPr/>
          <w:p>
            <w:pPr>
              <w:pStyle w:val="Compact"/>
              <w:jc w:val="left"/>
            </w:pPr>
            <w:r>
              <w:t xml:space="preserve">Himenesh</w:t>
            </w:r>
          </w:p>
        </w:tc>
        <w:tc>
          <w:tcPr/>
          <w:p>
            <w:pPr>
              <w:pStyle w:val="Compact"/>
            </w:pPr>
          </w:p>
        </w:tc>
        <w:tc>
          <w:tcPr/>
          <w:p>
            <w:pPr>
              <w:pStyle w:val="Compact"/>
              <w:jc w:val="left"/>
            </w:pPr>
            <w:r>
              <w:t xml:space="preserve">Integration and QC</w:t>
            </w:r>
          </w:p>
        </w:tc>
        <w:tc>
          <w:tcPr/>
          <w:p>
            <w:pPr>
              <w:pStyle w:val="Compact"/>
              <w:jc w:val="left"/>
            </w:pPr>
            <w:r>
              <w:t xml:space="preserve">Requirements matrix; metric definitions; configuration analysis; misconfiguration experiments M1/M2; Part C; final formatting</w:t>
            </w:r>
          </w:p>
        </w:tc>
        <w:tc>
          <w:tcPr/>
          <w:p>
            <w:pPr>
              <w:pStyle w:val="Compact"/>
              <w:jc w:val="left"/>
            </w:pPr>
            <w:r>
              <w:t xml:space="preserve">Whole report for consistency; numbers against evidence</w:t>
            </w:r>
          </w:p>
        </w:tc>
        <w:tc>
          <w:tcPr/>
          <w:p>
            <w:pPr>
              <w:pStyle w:val="Compact"/>
              <w:jc w:val="left"/>
            </w:pPr>
            <w:r>
              <w:t xml:space="preserve">B1–B3, B8, Part C</w:t>
            </w:r>
          </w:p>
        </w:tc>
        <w:tc>
          <w:tcPr/>
          <w:p>
            <w:pPr>
              <w:pStyle w:val="Compact"/>
            </w:pPr>
          </w:p>
        </w:tc>
      </w:tr>
    </w:tbl>
    <w:bookmarkEnd w:id="80"/>
    <w:bookmarkStart w:id="81"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81"/>
    <w:bookmarkStart w:id="85" w:name="X86e75e02aa72984c798d30d13de2ceb40b8940e"/>
    <w:p>
      <w:pPr>
        <w:pStyle w:val="Heading1"/>
      </w:pPr>
      <w:r>
        <w:t xml:space="preserve">Appendix C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82"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82"/>
    <w:bookmarkStart w:id="83"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83"/>
    <w:bookmarkStart w:id="84"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84"/>
    <w:bookmarkEnd w:id="85"/>
    <w:bookmarkStart w:id="86"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during drafting, the bibliographic details below were checked against listings from the publisher, IETF, NIST, CISA, USENIX, the authors’ own pages or institutional repositories. Crossref and dblp could not be reached from the drafting environment. These are metadata checks only; no full text has yet been read by a team member.</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rPr>
                <w:b/>
              </w:rPr>
              <w:t xml:space="preserve">Ref.</w:t>
            </w:r>
          </w:p>
        </w:tc>
        <w:tc>
          <w:tcPr/>
          <w:p>
            <w:pPr>
              <w:pStyle w:val="Compact"/>
              <w:jc w:val="left"/>
            </w:pPr>
            <w:r>
              <w:rPr>
                <w:b/>
              </w:rPr>
              <w:t xml:space="preserve">What was confirmed online</w:t>
            </w:r>
          </w:p>
        </w:tc>
        <w:tc>
          <w:tcPr/>
          <w:p>
            <w:pPr>
              <w:pStyle w:val="Compact"/>
              <w:jc w:val="left"/>
            </w:pPr>
            <w:r>
              <w:rPr>
                <w:b/>
              </w:rPr>
              <w:t xml:space="preserve">Claim in this report that relies on it</w:t>
            </w:r>
          </w:p>
        </w:tc>
        <w:tc>
          <w:tcPr/>
          <w:p>
            <w:pPr>
              <w:pStyle w:val="Compact"/>
              <w:jc w:val="left"/>
            </w:pPr>
            <w:r>
              <w:rPr>
                <w:b/>
              </w:rP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11"/>
        </w:numPr>
      </w:pPr>
      <w:r>
        <w:rPr>
          <w:bCs/>
          <w:b/>
        </w:rPr>
        <w:t xml:space="preserve">Minimum counts:</w:t>
      </w:r>
      <w:r>
        <w:t xml:space="preserve"> </w:t>
      </w:r>
      <w:r>
        <w:t xml:space="preserve">met (18 total; 10 peer-reviewed; 3 RFCs; 3 NIST publications).</w:t>
      </w:r>
    </w:p>
    <w:p>
      <w:pPr>
        <w:pStyle w:val="Compact"/>
        <w:numPr>
          <w:ilvl w:val="0"/>
          <w:numId w:val="1011"/>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w:t>
      </w:r>
    </w:p>
    <w:p>
      <w:pPr>
        <w:pStyle w:val="Compact"/>
        <w:numPr>
          <w:ilvl w:val="0"/>
          <w:numId w:val="1011"/>
        </w:numPr>
      </w:pPr>
      <w:r>
        <w:rPr>
          <w:bCs/>
          <w:b/>
        </w:rPr>
        <w:t xml:space="preserve">Full-text checks:</w:t>
      </w:r>
      <w:r>
        <w:t xml:space="preserve"> </w:t>
      </w:r>
      <w:r>
        <w:t xml:space="preserve">every claim must be checked against the full text before submission (last column above).</w:t>
      </w:r>
    </w:p>
    <w:bookmarkEnd w:id="86"/>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69" Target="media/rId69.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2026-10-24T16:15:16Z</dcterms:created>
  <dcterms:modified xsi:type="dcterms:W3CDTF">2026-10-24T16:15:16Z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