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7F08" w14:textId="77777777" w:rsidR="004B5301" w:rsidRPr="000421D9" w:rsidRDefault="004B5301">
      <w:pPr>
        <w:rPr>
          <w:rFonts w:ascii="Times New Roman" w:hAnsi="Times New Roman" w:cs="Times New Roman"/>
        </w:rPr>
      </w:pPr>
    </w:p>
    <w:p w14:paraId="2B38DE2D" w14:textId="5111657D" w:rsidR="004B5301" w:rsidRPr="000421D9" w:rsidRDefault="004B5301" w:rsidP="007053BF">
      <w:pPr>
        <w:rPr>
          <w:rFonts w:ascii="Times New Roman" w:hAnsi="Times New Roman" w:cs="Times New Roman"/>
          <w:b/>
          <w:bCs/>
        </w:rPr>
      </w:pPr>
      <w:r>
        <w:rPr>
          <w:rFonts w:ascii="Times New Roman" w:hAnsi="Times New Roman" w:eastAsia="Times New Roman"/>
          <w:b/>
          <w:i w:val="0"/>
          <w:sz w:val="24"/>
        </w:rPr>
        <w:t>Project Domain: Applied Machine Learning for Financial Time-Series Forecasting (Commodity / Base-Metals Markets)</w:t>
      </w:r>
    </w:p>
    <w:p w14:paraId="45AB5C59" w14:textId="47A8A118" w:rsidR="004B5301" w:rsidRPr="000421D9" w:rsidRDefault="004B5301" w:rsidP="007053BF">
      <w:pPr>
        <w:rPr>
          <w:rFonts w:ascii="Times New Roman" w:hAnsi="Times New Roman" w:cs="Times New Roman"/>
          <w:b/>
          <w:bCs/>
        </w:rPr>
      </w:pPr>
      <w:r>
        <w:rPr>
          <w:rFonts w:ascii="Times New Roman" w:hAnsi="Times New Roman" w:eastAsia="Times New Roman"/>
          <w:b/>
          <w:i w:val="0"/>
          <w:sz w:val="24"/>
        </w:rPr>
        <w:t>Guide Name: &lt;&lt;TO BE FILLED IN BY STUDENT&gt;&gt;</w:t>
      </w:r>
    </w:p>
    <w:p w14:paraId="486BB0B9" w14:textId="7A130B62" w:rsidR="004B5301" w:rsidRPr="000421D9" w:rsidRDefault="004B5301">
      <w:pPr>
        <w:rPr>
          <w:rFonts w:ascii="Times New Roman" w:hAnsi="Times New Roman" w:cs="Times New Roman"/>
          <w:b/>
          <w:bCs/>
        </w:rPr>
      </w:pPr>
      <w:r>
        <w:rPr>
          <w:rFonts w:ascii="Times New Roman" w:hAnsi="Times New Roman" w:eastAsia="Times New Roman"/>
          <w:b/>
          <w:i w:val="0"/>
          <w:sz w:val="24"/>
        </w:rPr>
        <w:t>Students: &lt;&lt;TO BE FILLED IN BY STUDENT — see Reg No / Name / CGPA table below&gt;&gt;</w:t>
      </w:r>
    </w:p>
    <w:tbl>
      <w:tblPr>
        <w:tblStyle w:val="TableGrid"/>
        <w:tblW w:w="0" w:type="auto"/>
        <w:tblLook w:val="04A0" w:firstRow="1" w:lastRow="0" w:firstColumn="1" w:lastColumn="0" w:noHBand="0" w:noVBand="1"/>
      </w:tblPr>
      <w:tblGrid>
        <w:gridCol w:w="2337"/>
        <w:gridCol w:w="2337"/>
        <w:gridCol w:w="2338"/>
      </w:tblGrid>
      <w:tr w:rsidR="004B5301" w:rsidRPr="000421D9" w14:paraId="7A8D1724" w14:textId="77777777" w:rsidTr="004B5301">
        <w:tc>
          <w:tcPr>
            <w:tcW w:w="2337" w:type="dxa"/>
          </w:tcPr>
          <w:p w14:paraId="6AEE064F" w14:textId="7453C887" w:rsidR="004B5301" w:rsidRPr="000421D9" w:rsidRDefault="004B5301">
            <w:pPr>
              <w:rPr>
                <w:rFonts w:ascii="Times New Roman" w:hAnsi="Times New Roman" w:cs="Times New Roman"/>
              </w:rPr>
            </w:pPr>
            <w:r w:rsidRPr="000421D9">
              <w:rPr>
                <w:rFonts w:ascii="Times New Roman" w:hAnsi="Times New Roman" w:cs="Times New Roman"/>
              </w:rPr>
              <w:t>Reg No</w:t>
            </w:r>
          </w:p>
        </w:tc>
        <w:tc>
          <w:tcPr>
            <w:tcW w:w="2337" w:type="dxa"/>
          </w:tcPr>
          <w:p w14:paraId="4874EDAC" w14:textId="401D5F74" w:rsidR="004B5301" w:rsidRPr="000421D9" w:rsidRDefault="004B5301">
            <w:pPr>
              <w:rPr>
                <w:rFonts w:ascii="Times New Roman" w:hAnsi="Times New Roman" w:cs="Times New Roman"/>
              </w:rPr>
            </w:pPr>
            <w:r w:rsidRPr="000421D9">
              <w:rPr>
                <w:rFonts w:ascii="Times New Roman" w:hAnsi="Times New Roman" w:cs="Times New Roman"/>
              </w:rPr>
              <w:t>Name</w:t>
            </w:r>
          </w:p>
        </w:tc>
        <w:tc>
          <w:tcPr>
            <w:tcW w:w="2338" w:type="dxa"/>
          </w:tcPr>
          <w:p w14:paraId="48CECBC1" w14:textId="3A554669" w:rsidR="004B5301" w:rsidRPr="000421D9" w:rsidRDefault="004B5301">
            <w:pPr>
              <w:rPr>
                <w:rFonts w:ascii="Times New Roman" w:hAnsi="Times New Roman" w:cs="Times New Roman"/>
              </w:rPr>
            </w:pPr>
            <w:r w:rsidRPr="000421D9">
              <w:rPr>
                <w:rFonts w:ascii="Times New Roman" w:hAnsi="Times New Roman" w:cs="Times New Roman"/>
              </w:rPr>
              <w:t>CGPA</w:t>
            </w:r>
          </w:p>
        </w:tc>
      </w:tr>
      <w:tr w:rsidR="004B5301" w:rsidRPr="000421D9" w14:paraId="3A3EC9B4" w14:textId="77777777" w:rsidTr="004B5301">
        <w:tc>
          <w:tcPr>
            <w:tcW w:w="2337" w:type="dxa"/>
          </w:tcPr>
          <w:p w14:paraId="11BDC41B" w14:textId="77777777" w:rsidR="004B5301" w:rsidRPr="000421D9" w:rsidRDefault="004B5301">
            <w:pPr>
              <w:rPr>
                <w:rFonts w:ascii="Times New Roman" w:hAnsi="Times New Roman" w:cs="Times New Roman"/>
              </w:rPr>
            </w:pPr>
          </w:p>
        </w:tc>
        <w:tc>
          <w:tcPr>
            <w:tcW w:w="2337" w:type="dxa"/>
          </w:tcPr>
          <w:p w14:paraId="3818F562" w14:textId="77777777" w:rsidR="004B5301" w:rsidRPr="000421D9" w:rsidRDefault="004B5301">
            <w:pPr>
              <w:rPr>
                <w:rFonts w:ascii="Times New Roman" w:hAnsi="Times New Roman" w:cs="Times New Roman"/>
              </w:rPr>
            </w:pPr>
          </w:p>
        </w:tc>
        <w:tc>
          <w:tcPr>
            <w:tcW w:w="2338" w:type="dxa"/>
          </w:tcPr>
          <w:p w14:paraId="308A8592" w14:textId="77777777" w:rsidR="004B5301" w:rsidRPr="000421D9" w:rsidRDefault="004B5301">
            <w:pPr>
              <w:rPr>
                <w:rFonts w:ascii="Times New Roman" w:hAnsi="Times New Roman" w:cs="Times New Roman"/>
              </w:rPr>
            </w:pPr>
          </w:p>
        </w:tc>
      </w:tr>
      <w:tr w:rsidR="004B5301" w:rsidRPr="000421D9" w14:paraId="588E5F9E" w14:textId="77777777" w:rsidTr="004B5301">
        <w:tc>
          <w:tcPr>
            <w:tcW w:w="2337" w:type="dxa"/>
          </w:tcPr>
          <w:p w14:paraId="15CCDAA1" w14:textId="77777777" w:rsidR="004B5301" w:rsidRPr="000421D9" w:rsidRDefault="004B5301">
            <w:pPr>
              <w:rPr>
                <w:rFonts w:ascii="Times New Roman" w:hAnsi="Times New Roman" w:cs="Times New Roman"/>
              </w:rPr>
            </w:pPr>
          </w:p>
        </w:tc>
        <w:tc>
          <w:tcPr>
            <w:tcW w:w="2337" w:type="dxa"/>
          </w:tcPr>
          <w:p w14:paraId="6EEC1CF7" w14:textId="77777777" w:rsidR="004B5301" w:rsidRPr="000421D9" w:rsidRDefault="004B5301">
            <w:pPr>
              <w:rPr>
                <w:rFonts w:ascii="Times New Roman" w:hAnsi="Times New Roman" w:cs="Times New Roman"/>
              </w:rPr>
            </w:pPr>
          </w:p>
        </w:tc>
        <w:tc>
          <w:tcPr>
            <w:tcW w:w="2338" w:type="dxa"/>
          </w:tcPr>
          <w:p w14:paraId="73201EB2" w14:textId="77777777" w:rsidR="004B5301" w:rsidRPr="000421D9" w:rsidRDefault="004B5301">
            <w:pPr>
              <w:rPr>
                <w:rFonts w:ascii="Times New Roman" w:hAnsi="Times New Roman" w:cs="Times New Roman"/>
              </w:rPr>
            </w:pPr>
          </w:p>
        </w:tc>
      </w:tr>
      <w:tr w:rsidR="004B5301" w:rsidRPr="000421D9" w14:paraId="0809EDC2" w14:textId="77777777" w:rsidTr="004B5301">
        <w:tc>
          <w:tcPr>
            <w:tcW w:w="2337" w:type="dxa"/>
          </w:tcPr>
          <w:p w14:paraId="61D36A84" w14:textId="77777777" w:rsidR="004B5301" w:rsidRPr="000421D9" w:rsidRDefault="004B5301">
            <w:pPr>
              <w:rPr>
                <w:rFonts w:ascii="Times New Roman" w:hAnsi="Times New Roman" w:cs="Times New Roman"/>
              </w:rPr>
            </w:pPr>
          </w:p>
        </w:tc>
        <w:tc>
          <w:tcPr>
            <w:tcW w:w="2337" w:type="dxa"/>
          </w:tcPr>
          <w:p w14:paraId="06AA38B3" w14:textId="77777777" w:rsidR="004B5301" w:rsidRPr="000421D9" w:rsidRDefault="004B5301">
            <w:pPr>
              <w:rPr>
                <w:rFonts w:ascii="Times New Roman" w:hAnsi="Times New Roman" w:cs="Times New Roman"/>
              </w:rPr>
            </w:pPr>
          </w:p>
        </w:tc>
        <w:tc>
          <w:tcPr>
            <w:tcW w:w="2338" w:type="dxa"/>
          </w:tcPr>
          <w:p w14:paraId="4B4DF056" w14:textId="77777777" w:rsidR="004B5301" w:rsidRPr="000421D9" w:rsidRDefault="004B5301">
            <w:pPr>
              <w:rPr>
                <w:rFonts w:ascii="Times New Roman" w:hAnsi="Times New Roman" w:cs="Times New Roman"/>
              </w:rPr>
            </w:pPr>
          </w:p>
        </w:tc>
      </w:tr>
    </w:tbl>
    <w:p w14:paraId="61D80033" w14:textId="77777777" w:rsidR="004B5301" w:rsidRPr="000421D9" w:rsidRDefault="004B5301">
      <w:pPr>
        <w:rPr>
          <w:rFonts w:ascii="Times New Roman" w:hAnsi="Times New Roman" w:cs="Times New Roman"/>
        </w:rPr>
      </w:pPr>
    </w:p>
    <w:tbl>
      <w:tblPr>
        <w:tblStyle w:val="TableGrid"/>
        <w:tblW w:w="10910" w:type="dxa"/>
        <w:tblLook w:val="04A0" w:firstRow="1" w:lastRow="0" w:firstColumn="1" w:lastColumn="0" w:noHBand="0" w:noVBand="1"/>
      </w:tblPr>
      <w:tblGrid>
        <w:gridCol w:w="1838"/>
        <w:gridCol w:w="9072"/>
      </w:tblGrid>
      <w:tr w:rsidR="004B5301" w:rsidRPr="000421D9" w14:paraId="318833CA" w14:textId="77777777" w:rsidTr="005F023F">
        <w:tc>
          <w:tcPr>
            <w:tcW w:w="1838" w:type="dxa"/>
          </w:tcPr>
          <w:p w14:paraId="08CF639E" w14:textId="77777777" w:rsidR="004B5301" w:rsidRPr="000421D9" w:rsidRDefault="004B5301" w:rsidP="00BD7264">
            <w:pPr>
              <w:rPr>
                <w:rFonts w:ascii="Times New Roman" w:hAnsi="Times New Roman" w:cs="Times New Roman"/>
                <w:b/>
                <w:bCs/>
              </w:rPr>
            </w:pPr>
            <w:r w:rsidRPr="004B5301">
              <w:rPr>
                <w:rFonts w:ascii="Times New Roman" w:hAnsi="Times New Roman" w:cs="Times New Roman"/>
                <w:b/>
                <w:bCs/>
                <w:lang w:val="en-IN"/>
              </w:rPr>
              <w:t>Motivation</w:t>
            </w:r>
          </w:p>
        </w:tc>
        <w:tc>
          <w:tcPr>
            <w:tcW w:w="9072" w:type="dxa"/>
          </w:tcPr>
          <w:p w14:paraId="172D582D" w14:textId="77777777" w:rsidR="004B5301" w:rsidRPr="004826E0" w:rsidRDefault="004B5301" w:rsidP="005F023F">
            <w:pPr>
              <w:rPr>
                <w:rFonts w:ascii="Times New Roman" w:hAnsi="Times New Roman" w:cs="Times New Roman"/>
                <w:sz w:val="20"/>
                <w:szCs w:val="20"/>
                <w:lang w:val="en-IN"/>
              </w:rPr>
            </w:pPr>
            <w:r>
              <w:rPr>
                <w:rFonts w:ascii="Times New Roman" w:hAnsi="Times New Roman" w:eastAsia="Times New Roman"/>
                <w:b/>
                <w:i w:val="0"/>
                <w:sz w:val="20"/>
              </w:rPr>
              <w:t>An open-ended Social/Industrial Challenge and Opportunity with conflicting interests</w:t>
            </w:r>
          </w:p>
          <w:p>
            <w:r>
              <w:rPr>
                <w:rFonts w:ascii="Times New Roman" w:hAnsi="Times New Roman" w:eastAsia="Times New Roman"/>
                <w:b w:val="0"/>
                <w:i w:val="0"/>
                <w:sz w:val="20"/>
              </w:rPr>
              <w:t>Zinc and aluminium are essential inputs for construction, transport, and packaging industries, but their exchange prices are highly volatile, reflecting industrial demand cycles, macroeconomic shocks, and physical supply-chain conditions such as warehouse stock levels. This volatility creates conflicting interests: producers and downstream manufacturers need predictable prices for procurement and cost planning, while traders benefit from the same volatility through information asymmetry. Existing forecasting approaches are either purely statistical, ignoring physical fundamentals entirely, or treat a fundamental signal as just another input feature without asking whether it is better used to change what a model predicts or which model is trusted at a given moment — a question with direct consequences for how reliably industrial buyers can plan procurement. This project uses LME warehouse-inventory data, a genuine physical supply-chain signal, to build a forecasting system that adapts to changing market regimes, supporting more resilient industrial planning and reducing reactive, resource-inefficient procurement behaviour.</w:t>
            </w:r>
          </w:p>
          <w:p>
            <w:r>
              <w:rPr>
                <w:rFonts w:ascii="Times New Roman" w:hAnsi="Times New Roman" w:eastAsia="Times New Roman"/>
                <w:b w:val="0"/>
                <w:i w:val="0"/>
                <w:sz w:val="20"/>
              </w:rPr>
            </w:r>
          </w:p>
          <w:p>
            <w:r>
              <w:rPr>
                <w:rFonts w:ascii="Times New Roman" w:hAnsi="Times New Roman" w:eastAsia="Times New Roman"/>
                <w:b/>
                <w:i w:val="0"/>
                <w:sz w:val="20"/>
              </w:rPr>
              <w:t>Mapping with Social Development Goals (SDGs)</w:t>
            </w:r>
          </w:p>
          <w:p>
            <w:r>
              <w:rPr>
                <w:rFonts w:ascii="Times New Roman" w:hAnsi="Times New Roman" w:eastAsia="Times New Roman"/>
                <w:b w:val="0"/>
                <w:i w:val="0"/>
                <w:sz w:val="20"/>
              </w:rPr>
              <w:t>SDG 9 — Industry, Innovation and Infrastructure (Target 9.4: resource-efficient, resilient industrial processes); SDG 12 — Responsible Consumption and Production (Target 12.2: sustainable management of natural resources).</w:t>
            </w:r>
          </w:p>
        </w:tc>
      </w:tr>
      <w:tr w:rsidR="004B5301" w:rsidRPr="000421D9" w14:paraId="097E6EF5" w14:textId="77777777" w:rsidTr="005F023F">
        <w:tc>
          <w:tcPr>
            <w:tcW w:w="1838" w:type="dxa"/>
          </w:tcPr>
          <w:p w14:paraId="51378A0C" w14:textId="77777777" w:rsidR="004B5301" w:rsidRPr="000421D9" w:rsidRDefault="004B5301" w:rsidP="00BD7264">
            <w:pPr>
              <w:rPr>
                <w:rFonts w:ascii="Times New Roman" w:hAnsi="Times New Roman" w:cs="Times New Roman"/>
                <w:b/>
                <w:bCs/>
              </w:rPr>
            </w:pPr>
            <w:r w:rsidRPr="000421D9">
              <w:rPr>
                <w:rFonts w:ascii="Times New Roman" w:hAnsi="Times New Roman" w:cs="Times New Roman"/>
                <w:b/>
                <w:bCs/>
              </w:rPr>
              <w:t>Solutions for Complex Engineering Problem</w:t>
            </w:r>
          </w:p>
        </w:tc>
        <w:tc>
          <w:tcPr>
            <w:tcW w:w="9072" w:type="dxa"/>
          </w:tcPr>
          <w:p w14:paraId="5AB7DB01" w14:textId="77777777" w:rsidR="004B5301" w:rsidRPr="004B5301" w:rsidRDefault="004B5301" w:rsidP="005F023F">
            <w:pPr>
              <w:spacing w:line="278" w:lineRule="auto"/>
              <w:rPr>
                <w:rFonts w:ascii="Times New Roman" w:hAnsi="Times New Roman" w:cs="Times New Roman"/>
                <w:sz w:val="20"/>
                <w:szCs w:val="20"/>
              </w:rPr>
            </w:pPr>
            <w:r>
              <w:rPr>
                <w:rFonts w:ascii="Times New Roman" w:hAnsi="Times New Roman" w:eastAsia="Times New Roman"/>
                <w:b/>
                <w:i w:val="0"/>
                <w:sz w:val="20"/>
              </w:rPr>
              <w:t>Solution 1 — Single high-capacity forecasting model.</w:t>
            </w:r>
          </w:p>
          <w:p>
            <w:r>
              <w:rPr>
                <w:rFonts w:ascii="Times New Roman" w:hAnsi="Times New Roman" w:eastAsia="Times New Roman"/>
                <w:b w:val="0"/>
                <w:i w:val="0"/>
                <w:sz w:val="20"/>
              </w:rPr>
              <w:t>Train one sequence model (e.g. an LSTM/GRU) directly on price history, technical indicators, and macro/inventory features to predict next-day returns. Simple to implement, but a single model cannot represent genuinely different market regimes simultaneously, risks overfitting on the limited daily history available (~2,500 observations), and gives no signal about when its own guess should be trusted.</w:t>
            </w:r>
          </w:p>
          <w:p>
            <w:r>
              <w:rPr>
                <w:rFonts w:ascii="Times New Roman" w:hAnsi="Times New Roman" w:eastAsia="Times New Roman"/>
                <w:b w:val="0"/>
                <w:i w:val="0"/>
                <w:sz w:val="20"/>
              </w:rPr>
            </w:r>
          </w:p>
          <w:p>
            <w:r>
              <w:rPr>
                <w:rFonts w:ascii="Times New Roman" w:hAnsi="Times New Roman" w:eastAsia="Times New Roman"/>
                <w:b/>
                <w:i w:val="0"/>
                <w:sz w:val="20"/>
              </w:rPr>
              <w:t>Solution 2 — Fixed-weight ensemble with fundamentals as an input feature.</w:t>
            </w:r>
          </w:p>
          <w:p>
            <w:r>
              <w:rPr>
                <w:rFonts w:ascii="Times New Roman" w:hAnsi="Times New Roman" w:eastAsia="Times New Roman"/>
                <w:b w:val="0"/>
                <w:i w:val="0"/>
                <w:sz w:val="20"/>
              </w:rPr>
              <w:t>Combine several diverse forecasters (a linear autoregressive model, a gradient-boosted tree model, and a sequence model) using one fixed blending weight, with the inventory-pressure signal added as an extra input to each model. Improves on a single model by averaging out idiosyncratic errors, but a fixed blend cannot adapt when one forecaster becomes systematically better or worse as conditions change, and does not test whether the fundamental signal is better used elsewhere.</w:t>
            </w:r>
          </w:p>
          <w:p>
            <w:r>
              <w:rPr>
                <w:rFonts w:ascii="Times New Roman" w:hAnsi="Times New Roman" w:eastAsia="Times New Roman"/>
                <w:b w:val="0"/>
                <w:i w:val="0"/>
                <w:sz w:val="20"/>
              </w:rPr>
            </w:r>
          </w:p>
          <w:p>
            <w:r>
              <w:rPr>
                <w:rFonts w:ascii="Times New Roman" w:hAnsi="Times New Roman" w:eastAsia="Times New Roman"/>
                <w:b/>
                <w:i w:val="0"/>
                <w:sz w:val="20"/>
              </w:rPr>
              <w:t>Solution 3 — Confidence-calibrated dynamic Mixture-of-Experts.</w:t>
            </w:r>
          </w:p>
          <w:p>
            <w:r>
              <w:rPr>
                <w:rFonts w:ascii="Times New Roman" w:hAnsi="Times New Roman" w:eastAsia="Times New Roman"/>
                <w:b w:val="0"/>
                <w:i w:val="0"/>
                <w:sz w:val="20"/>
              </w:rPr>
              <w:t>Train the same diverse forecaster panel, but replace the fixed blend with a learned gating network that reweights the forecasters daily based on current market conditions, testing the inventory-pressure signal as an input to the gate itself. A confidence-calibration layer prevents the gate from acting when its own regime estimate is not reliable enough to be worth trusting, directly addressing the failure mode observed when naive dynamic gating is used indiscriminately.</w:t>
            </w:r>
          </w:p>
        </w:tc>
      </w:tr>
      <w:tr w:rsidR="004B5301" w:rsidRPr="000421D9" w14:paraId="3B0095F3" w14:textId="77777777" w:rsidTr="005F023F">
        <w:tc>
          <w:tcPr>
            <w:tcW w:w="1838" w:type="dxa"/>
          </w:tcPr>
          <w:p w14:paraId="527359BC" w14:textId="77777777" w:rsidR="004B5301" w:rsidRPr="000421D9" w:rsidRDefault="004B5301" w:rsidP="00BD7264">
            <w:pPr>
              <w:rPr>
                <w:rFonts w:ascii="Times New Roman" w:hAnsi="Times New Roman" w:cs="Times New Roman"/>
                <w:b/>
                <w:bCs/>
              </w:rPr>
            </w:pPr>
            <w:r w:rsidRPr="000421D9">
              <w:rPr>
                <w:rFonts w:ascii="Times New Roman" w:hAnsi="Times New Roman" w:cs="Times New Roman"/>
                <w:b/>
                <w:bCs/>
                <w:lang w:val="en-IN"/>
              </w:rPr>
              <w:t xml:space="preserve">Student </w:t>
            </w:r>
            <w:r w:rsidRPr="004B5301">
              <w:rPr>
                <w:rFonts w:ascii="Times New Roman" w:hAnsi="Times New Roman" w:cs="Times New Roman"/>
                <w:b/>
                <w:bCs/>
                <w:lang w:val="en-IN"/>
              </w:rPr>
              <w:t>Competencies</w:t>
            </w:r>
          </w:p>
        </w:tc>
        <w:tc>
          <w:tcPr>
            <w:tcW w:w="9072" w:type="dxa"/>
          </w:tcPr>
          <w:p w14:paraId="2E466BFF" w14:textId="77777777" w:rsidR="004B5301" w:rsidRPr="004826E0" w:rsidRDefault="004B5301" w:rsidP="005F023F">
            <w:pPr>
              <w:rPr>
                <w:rFonts w:ascii="Times New Roman" w:hAnsi="Times New Roman" w:cs="Times New Roman"/>
                <w:sz w:val="20"/>
                <w:szCs w:val="20"/>
              </w:rPr>
            </w:pPr>
            <w:r>
              <w:rPr>
                <w:rFonts w:ascii="Times New Roman" w:hAnsi="Times New Roman" w:eastAsia="Times New Roman"/>
                <w:b/>
                <w:i w:val="0"/>
                <w:sz w:val="20"/>
              </w:rPr>
              <w:t>Team members:</w:t>
            </w:r>
          </w:p>
          <w:p>
            <w:r>
              <w:rPr>
                <w:rFonts w:ascii="Times New Roman" w:hAnsi="Times New Roman" w:eastAsia="Times New Roman"/>
                <w:b w:val="0"/>
                <w:i w:val="0"/>
                <w:sz w:val="20"/>
              </w:rPr>
              <w:t>&lt;&lt;TO BE FILLED — Name, Register Number, individual role / contribution area&gt;&gt;</w:t>
            </w:r>
          </w:p>
          <w:p>
            <w:r>
              <w:rPr>
                <w:rFonts w:ascii="Times New Roman" w:hAnsi="Times New Roman" w:eastAsia="Times New Roman"/>
                <w:b w:val="0"/>
                <w:i w:val="0"/>
                <w:sz w:val="20"/>
              </w:rPr>
            </w:r>
          </w:p>
          <w:p>
            <w:r>
              <w:rPr>
                <w:rFonts w:ascii="Times New Roman" w:hAnsi="Times New Roman" w:eastAsia="Times New Roman"/>
                <w:b/>
                <w:i w:val="0"/>
                <w:sz w:val="20"/>
              </w:rPr>
              <w:t>Hardware / Software platforms needed:</w:t>
            </w:r>
          </w:p>
          <w:p>
            <w:r>
              <w:rPr>
                <w:rFonts w:ascii="Times New Roman" w:hAnsi="Times New Roman" w:eastAsia="Times New Roman"/>
                <w:b w:val="0"/>
                <w:i w:val="0"/>
                <w:sz w:val="20"/>
              </w:rPr>
              <w:t>Python 3.11; NumPy, pandas, scikit-learn, XGBoost, statsmodels; Streamlit (demo application); Git/GitHub (version control); standard CPU-based compute — no specialised hardware required.</w:t>
            </w:r>
          </w:p>
          <w:p>
            <w:r>
              <w:rPr>
                <w:rFonts w:ascii="Times New Roman" w:hAnsi="Times New Roman" w:eastAsia="Times New Roman"/>
                <w:b w:val="0"/>
                <w:i w:val="0"/>
                <w:sz w:val="20"/>
              </w:rPr>
            </w:r>
          </w:p>
          <w:p>
            <w:r>
              <w:rPr>
                <w:rFonts w:ascii="Times New Roman" w:hAnsi="Times New Roman" w:eastAsia="Times New Roman"/>
                <w:b/>
                <w:i w:val="0"/>
                <w:sz w:val="20"/>
              </w:rPr>
              <w:t>Team competencies:</w:t>
            </w:r>
          </w:p>
          <w:p>
            <w:r>
              <w:rPr>
                <w:rFonts w:ascii="Times New Roman" w:hAnsi="Times New Roman" w:eastAsia="Times New Roman"/>
                <w:b w:val="0"/>
                <w:i w:val="0"/>
                <w:sz w:val="20"/>
              </w:rPr>
              <w:t>time-series and statistical modelling; machine learning (gradient boosting, neural networks); software engineering and reproducible-research practice; financial data engineering.</w:t>
            </w:r>
          </w:p>
          <w:p>
            <w:r>
              <w:rPr>
                <w:rFonts w:ascii="Times New Roman" w:hAnsi="Times New Roman" w:eastAsia="Times New Roman"/>
                <w:b w:val="0"/>
                <w:i w:val="0"/>
                <w:sz w:val="20"/>
              </w:rPr>
            </w:r>
          </w:p>
          <w:p>
            <w:r>
              <w:rPr>
                <w:rFonts w:ascii="Times New Roman" w:hAnsi="Times New Roman" w:eastAsia="Times New Roman"/>
                <w:b w:val="0"/>
                <w:i/>
                <w:sz w:val="20"/>
              </w:rPr>
              <w:t>[Table-1] — see Student Competencies table below.</w:t>
            </w:r>
          </w:p>
          <w:p>
            <w:r>
              <w:rPr>
                <w:rFonts w:ascii="Times New Roman" w:hAnsi="Times New Roman" w:eastAsia="Times New Roman"/>
                <w:b w:val="0"/>
                <w:i w:val="0"/>
                <w:sz w:val="20"/>
              </w:rPr>
            </w:r>
          </w:p>
          <w:p>
            <w:r>
              <w:rPr>
                <w:rFonts w:ascii="Times New Roman" w:hAnsi="Times New Roman" w:eastAsia="Times New Roman"/>
                <w:b/>
                <w:i w:val="0"/>
                <w:sz w:val="20"/>
              </w:rPr>
              <w:t>WK/WP Mapping:</w:t>
            </w:r>
          </w:p>
          <w:p>
            <w:r>
              <w:rPr>
                <w:rFonts w:ascii="Times New Roman" w:hAnsi="Times New Roman" w:eastAsia="Times New Roman"/>
                <w:b w:val="0"/>
                <w:i w:val="0"/>
                <w:sz w:val="20"/>
              </w:rPr>
              <w:t>&lt;&lt;TO BE FINALISED IN DISCUSSION WITH THE SUPERVISOR&gt;&gt;</w:t>
            </w:r>
          </w:p>
        </w:tc>
      </w:tr>
      <w:tr w:rsidR="004B5301" w:rsidRPr="000421D9" w14:paraId="5283AFAE" w14:textId="77777777" w:rsidTr="005F023F">
        <w:tc>
          <w:tcPr>
            <w:tcW w:w="1838" w:type="dxa"/>
          </w:tcPr>
          <w:p w14:paraId="208553BD" w14:textId="77777777" w:rsidR="004B5301" w:rsidRPr="000421D9" w:rsidRDefault="004B5301" w:rsidP="00BD7264">
            <w:pPr>
              <w:rPr>
                <w:rFonts w:ascii="Times New Roman" w:hAnsi="Times New Roman" w:cs="Times New Roman"/>
                <w:b/>
                <w:bCs/>
              </w:rPr>
            </w:pPr>
            <w:r w:rsidRPr="000421D9">
              <w:rPr>
                <w:rFonts w:ascii="Times New Roman" w:hAnsi="Times New Roman" w:cs="Times New Roman"/>
                <w:b/>
                <w:bCs/>
                <w:lang w:val="en-IN"/>
              </w:rPr>
              <w:t>Capstone Project Problem statement</w:t>
            </w:r>
          </w:p>
        </w:tc>
        <w:tc>
          <w:tcPr>
            <w:tcW w:w="9072" w:type="dxa"/>
          </w:tcPr>
          <w:p w14:paraId="35EA2B0A" w14:textId="77777777" w:rsidR="004B5301" w:rsidRPr="004826E0" w:rsidRDefault="004B5301" w:rsidP="005F023F">
            <w:pPr>
              <w:rPr>
                <w:rFonts w:ascii="Times New Roman" w:hAnsi="Times New Roman" w:cs="Times New Roman"/>
                <w:sz w:val="20"/>
                <w:szCs w:val="20"/>
                <w:lang w:val="en-IN"/>
              </w:rPr>
            </w:pPr>
            <w:r>
              <w:rPr>
                <w:rFonts w:ascii="Times New Roman" w:hAnsi="Times New Roman" w:eastAsia="Times New Roman"/>
                <w:b w:val="0"/>
                <w:i w:val="0"/>
                <w:sz w:val="20"/>
              </w:rPr>
              <w:t>Solution 3 is selected. Controlled experiments (see Methodology) show a regime-aware combiner can outperform a fixed blend by 1.6–3.5% when the true market regime is known, confirming real value is available — but only if switching is used selectively. Solution 1 has no mechanism to adapt its weighting at all, and Solution 2's fixed blend is mathematically incapable of it. Solution 3 is the only candidate that can, in principle, both capture the demonstrated gain and avoid the loss naive (over-confident) switching was shown to cause.</w:t>
            </w:r>
          </w:p>
        </w:tc>
      </w:tr>
      <w:tr w:rsidR="004B5301" w:rsidRPr="000421D9" w14:paraId="15C1F805" w14:textId="77777777" w:rsidTr="005F023F">
        <w:tc>
          <w:tcPr>
            <w:tcW w:w="1838" w:type="dxa"/>
          </w:tcPr>
          <w:p w14:paraId="20F78ED0" w14:textId="77777777" w:rsidR="004B5301" w:rsidRPr="000421D9" w:rsidRDefault="004B5301" w:rsidP="00BD7264">
            <w:pPr>
              <w:rPr>
                <w:rFonts w:ascii="Times New Roman" w:hAnsi="Times New Roman" w:cs="Times New Roman"/>
                <w:b/>
                <w:bCs/>
              </w:rPr>
            </w:pPr>
            <w:r w:rsidRPr="004B5301">
              <w:rPr>
                <w:rFonts w:ascii="Times New Roman" w:hAnsi="Times New Roman" w:cs="Times New Roman"/>
                <w:b/>
                <w:bCs/>
                <w:lang w:val="en-IN"/>
              </w:rPr>
              <w:t>Title</w:t>
            </w:r>
          </w:p>
        </w:tc>
        <w:tc>
          <w:tcPr>
            <w:tcW w:w="9072" w:type="dxa"/>
          </w:tcPr>
          <w:p w14:paraId="542E8AEB" w14:textId="77777777" w:rsidR="004B5301" w:rsidRPr="004826E0" w:rsidRDefault="004B5301" w:rsidP="005F023F">
            <w:pPr>
              <w:rPr>
                <w:rFonts w:ascii="Times New Roman" w:hAnsi="Times New Roman" w:cs="Times New Roman"/>
                <w:sz w:val="20"/>
                <w:szCs w:val="20"/>
                <w:lang w:val="en-IN"/>
              </w:rPr>
            </w:pPr>
            <w:r>
              <w:rPr>
                <w:rFonts w:ascii="Times New Roman" w:hAnsi="Times New Roman" w:eastAsia="Times New Roman"/>
                <w:b/>
                <w:i w:val="0"/>
                <w:sz w:val="20"/>
              </w:rPr>
              <w:t>Title of the Project</w:t>
            </w:r>
          </w:p>
          <w:p>
            <w:r>
              <w:rPr>
                <w:rFonts w:ascii="Times New Roman" w:hAnsi="Times New Roman" w:eastAsia="Times New Roman"/>
                <w:b w:val="0"/>
                <w:i w:val="0"/>
                <w:sz w:val="20"/>
              </w:rPr>
              <w:t>Routing versus Representation: A Confidence-Calibrated Gated Mixture-of-Experts Framework for LME Zinc and Aluminium Price Forecasting</w:t>
            </w:r>
          </w:p>
          <w:p>
            <w:r>
              <w:rPr>
                <w:rFonts w:ascii="Times New Roman" w:hAnsi="Times New Roman" w:eastAsia="Times New Roman"/>
                <w:b w:val="0"/>
                <w:i w:val="0"/>
                <w:sz w:val="20"/>
              </w:rPr>
            </w:r>
          </w:p>
          <w:p>
            <w:r>
              <w:rPr>
                <w:rFonts w:ascii="Times New Roman" w:hAnsi="Times New Roman" w:eastAsia="Times New Roman"/>
                <w:b/>
                <w:i w:val="0"/>
                <w:sz w:val="20"/>
              </w:rPr>
              <w:t>Technical Objectives</w:t>
            </w:r>
          </w:p>
          <w:p>
            <w:r>
              <w:rPr>
                <w:rFonts w:ascii="Times New Roman" w:hAnsi="Times New Roman" w:eastAsia="Times New Roman"/>
                <w:b w:val="0"/>
                <w:i w:val="0"/>
                <w:sz w:val="20"/>
              </w:rPr>
              <w:t>1. Design and implement a panel of diverse one-step-ahead forecasting models (linear autoregressive, ARIMA, gradient-boosted trees, sequence model) for LME zinc and aluminium daily returns.</w:t>
            </w:r>
          </w:p>
          <w:p>
            <w:r>
              <w:rPr>
                <w:rFonts w:ascii="Times New Roman" w:hAnsi="Times New Roman" w:eastAsia="Times New Roman"/>
                <w:b w:val="0"/>
                <w:i w:val="0"/>
                <w:sz w:val="20"/>
              </w:rPr>
              <w:t>2. Construct a warehouse-inventory-pressure index from LME stock-level data and test whether it is more effective as a forecasting-model input or as a gating / routing signal.</w:t>
            </w:r>
          </w:p>
          <w:p>
            <w:r>
              <w:rPr>
                <w:rFonts w:ascii="Times New Roman" w:hAnsi="Times New Roman" w:eastAsia="Times New Roman"/>
                <w:b w:val="0"/>
                <w:i w:val="0"/>
                <w:sz w:val="20"/>
              </w:rPr>
              <w:t>3. Design a confidence-calibrated gating mechanism that only overrides a safe static combination once its regime-identification confidence is empirically validated to exceed a derived break-even threshold.</w:t>
            </w:r>
          </w:p>
          <w:p>
            <w:r>
              <w:rPr>
                <w:rFonts w:ascii="Times New Roman" w:hAnsi="Times New Roman" w:eastAsia="Times New Roman"/>
                <w:b w:val="0"/>
                <w:i w:val="0"/>
                <w:sz w:val="20"/>
              </w:rPr>
              <w:t>4. Validate the complete framework on a controlled synthetic market with known ground-truth regimes, then on real LME price and inventory data, using walk-forward backtesting with statistical significance testing against random-walk and static-combination benchmarks.</w:t>
            </w:r>
          </w:p>
          <w:p>
            <w:r>
              <w:rPr>
                <w:rFonts w:ascii="Times New Roman" w:hAnsi="Times New Roman" w:eastAsia="Times New Roman"/>
                <w:b w:val="0"/>
                <w:i w:val="0"/>
                <w:sz w:val="20"/>
              </w:rPr>
            </w:r>
          </w:p>
          <w:p>
            <w:r>
              <w:rPr>
                <w:rFonts w:ascii="Times New Roman" w:hAnsi="Times New Roman" w:eastAsia="Times New Roman"/>
                <w:b/>
                <w:i w:val="0"/>
                <w:sz w:val="20"/>
              </w:rPr>
              <w:t>Abstract</w:t>
            </w:r>
          </w:p>
          <w:p>
            <w:r>
              <w:rPr>
                <w:rFonts w:ascii="Times New Roman" w:hAnsi="Times New Roman" w:eastAsia="Times New Roman"/>
                <w:b w:val="0"/>
                <w:i w:val="0"/>
                <w:sz w:val="20"/>
              </w:rPr>
              <w:t>Zinc and aluminium prices on the London Metal Exchange (LME) are difficult to forecast because markets shift between behavioural regimes, and no single forecasting model performs well across all of them. Ensemble methods that combine multiple forecasters can help, but existing dynamic-weighting (gating) approaches condition their weights only on properties of the price series itself. This project investigates whether a genuine physical-supply fundamental — LME warehouse inventory pressure — is more effective when used to improve individual forecasts (representation) or when used to decide which forecaster to trust at a given time (routing), a distinction not previously separated in commodity forecasting literature. A gated mixture-of-experts architecture combining linear, statistical, tree-based, and sequence-model forecasters is implemented and evaluated via walk-forward backtesting with Diebold–Mariano significance testing against random-walk and static-combination baselines. On a controlled synthetic testbed with known ground-truth regimes, routing the inventory signal through the gate — rather than through the forecasters — raises regime-identification accuracy substantially and is the only configuration that avoids the losses naive dynamic gating otherwise causes; a confidence-calibration mechanism further prevents the gate from acting when its regime estimate is unreliable. Validation on real LME price and inventory data is in progress.</w:t>
            </w:r>
          </w:p>
        </w:tc>
      </w:tr>
      <w:tr w:rsidR="004B5301" w:rsidRPr="000421D9" w14:paraId="1FB192A4" w14:textId="77777777" w:rsidTr="005F023F">
        <w:tc>
          <w:tcPr>
            <w:tcW w:w="1838" w:type="dxa"/>
          </w:tcPr>
          <w:p w14:paraId="4D54A332" w14:textId="77777777" w:rsidR="004B5301" w:rsidRPr="000421D9" w:rsidRDefault="004B5301" w:rsidP="00BD7264">
            <w:pPr>
              <w:rPr>
                <w:rFonts w:ascii="Times New Roman" w:hAnsi="Times New Roman" w:cs="Times New Roman"/>
                <w:b/>
                <w:bCs/>
                <w:lang w:val="en-IN"/>
              </w:rPr>
            </w:pPr>
            <w:r w:rsidRPr="004B5301">
              <w:rPr>
                <w:rFonts w:ascii="Times New Roman" w:hAnsi="Times New Roman" w:cs="Times New Roman"/>
                <w:b/>
                <w:bCs/>
                <w:lang w:val="en-IN"/>
              </w:rPr>
              <w:t xml:space="preserve">Budget and </w:t>
            </w:r>
            <w:r w:rsidRPr="000421D9">
              <w:rPr>
                <w:rFonts w:ascii="Times New Roman" w:hAnsi="Times New Roman" w:cs="Times New Roman"/>
                <w:b/>
                <w:bCs/>
                <w:lang w:val="en-IN"/>
              </w:rPr>
              <w:t>plan</w:t>
            </w:r>
          </w:p>
        </w:tc>
        <w:tc>
          <w:tcPr>
            <w:tcW w:w="9072" w:type="dxa"/>
          </w:tcPr>
          <w:p w14:paraId="430584AA" w14:textId="77777777" w:rsidR="004B5301" w:rsidRPr="004B5301" w:rsidRDefault="004B5301" w:rsidP="005F023F">
            <w:pPr>
              <w:spacing w:line="278" w:lineRule="auto"/>
              <w:rPr>
                <w:rFonts w:ascii="Times New Roman" w:hAnsi="Times New Roman" w:cs="Times New Roman"/>
                <w:sz w:val="20"/>
                <w:szCs w:val="20"/>
              </w:rPr>
            </w:pPr>
            <w:r>
              <w:rPr>
                <w:rFonts w:ascii="Times New Roman" w:hAnsi="Times New Roman" w:eastAsia="Times New Roman"/>
                <w:b/>
                <w:i w:val="0"/>
                <w:sz w:val="20"/>
              </w:rPr>
              <w:t>Cost Analysis and Final Budget [Table-2]</w:t>
            </w:r>
          </w:p>
          <w:p>
            <w:r>
              <w:rPr>
                <w:rFonts w:ascii="Times New Roman" w:hAnsi="Times New Roman" w:eastAsia="Times New Roman"/>
                <w:b w:val="0"/>
                <w:i w:val="0"/>
                <w:sz w:val="20"/>
              </w:rPr>
              <w:t>See budget table below. Primary cost driver is historical data acquisition (daily zinc price and LME warehouse-inventory history); compute and software are open-source / low-cost.</w:t>
            </w:r>
          </w:p>
          <w:p>
            <w:r>
              <w:rPr>
                <w:rFonts w:ascii="Times New Roman" w:hAnsi="Times New Roman" w:eastAsia="Times New Roman"/>
                <w:b w:val="0"/>
                <w:i w:val="0"/>
                <w:sz w:val="20"/>
              </w:rPr>
            </w:r>
          </w:p>
          <w:p>
            <w:r>
              <w:rPr>
                <w:rFonts w:ascii="Times New Roman" w:hAnsi="Times New Roman" w:eastAsia="Times New Roman"/>
                <w:b/>
                <w:i w:val="0"/>
                <w:sz w:val="20"/>
              </w:rPr>
              <w:t>Manpower calculation [Table-3]</w:t>
            </w:r>
          </w:p>
          <w:p>
            <w:r>
              <w:rPr>
                <w:rFonts w:ascii="Times New Roman" w:hAnsi="Times New Roman" w:eastAsia="Times New Roman"/>
                <w:b w:val="0"/>
                <w:i w:val="0"/>
                <w:sz w:val="20"/>
              </w:rPr>
              <w:t>See manpower table below.</w:t>
            </w:r>
          </w:p>
          <w:p>
            <w:r>
              <w:rPr>
                <w:rFonts w:ascii="Times New Roman" w:hAnsi="Times New Roman" w:eastAsia="Times New Roman"/>
                <w:b w:val="0"/>
                <w:i w:val="0"/>
                <w:sz w:val="20"/>
              </w:rPr>
            </w:r>
          </w:p>
          <w:p>
            <w:r>
              <w:rPr>
                <w:rFonts w:ascii="Times New Roman" w:hAnsi="Times New Roman" w:eastAsia="Times New Roman"/>
                <w:b/>
                <w:i w:val="0"/>
                <w:sz w:val="20"/>
              </w:rPr>
              <w:t>Project Completion stages and outcomes [Gantt chart-1]</w:t>
            </w:r>
          </w:p>
          <w:p>
            <w:r>
              <w:rPr>
                <w:rFonts w:ascii="Times New Roman" w:hAnsi="Times New Roman" w:eastAsia="Times New Roman"/>
                <w:b w:val="0"/>
                <w:i w:val="0"/>
                <w:sz w:val="20"/>
              </w:rPr>
              <w:t>See stage plan below.</w:t>
            </w:r>
          </w:p>
        </w:tc>
      </w:tr>
      <w:tr w:rsidR="00FC70B3" w:rsidRPr="000421D9" w14:paraId="53EF5ABC" w14:textId="77777777" w:rsidTr="005F023F">
        <w:tc>
          <w:tcPr>
            <w:tcW w:w="1838" w:type="dxa"/>
          </w:tcPr>
          <w:p w14:paraId="00E628E1" w14:textId="30588464" w:rsidR="00FC70B3" w:rsidRPr="004B5301" w:rsidRDefault="00FC70B3" w:rsidP="00BD7264">
            <w:pPr>
              <w:rPr>
                <w:rFonts w:ascii="Times New Roman" w:hAnsi="Times New Roman" w:cs="Times New Roman"/>
                <w:b/>
                <w:bCs/>
                <w:lang w:val="en-IN"/>
              </w:rPr>
            </w:pPr>
            <w:r>
              <w:rPr>
                <w:rFonts w:ascii="Times New Roman" w:hAnsi="Times New Roman" w:cs="Times New Roman"/>
                <w:b/>
                <w:bCs/>
                <w:lang w:val="en-IN"/>
              </w:rPr>
              <w:t>Reference</w:t>
            </w:r>
          </w:p>
        </w:tc>
        <w:tc>
          <w:tcPr>
            <w:tcW w:w="9072" w:type="dxa"/>
          </w:tcPr>
          <w:p w14:paraId="1D9F63B7" w14:textId="77777777" w:rsidR="00FC70B3" w:rsidRPr="004826E0" w:rsidRDefault="00FC70B3" w:rsidP="005F023F">
            <w:pPr>
              <w:rPr>
                <w:rFonts w:ascii="Times New Roman" w:hAnsi="Times New Roman" w:cs="Times New Roman"/>
                <w:sz w:val="18"/>
                <w:szCs w:val="18"/>
                <w:lang w:val="en-IN"/>
              </w:rPr>
            </w:pPr>
            <w:r>
              <w:rPr>
                <w:rFonts w:ascii="Times New Roman" w:hAnsi="Times New Roman" w:eastAsia="Times New Roman"/>
                <w:b w:val="0"/>
                <w:i w:val="0"/>
                <w:sz w:val="18"/>
              </w:rPr>
              <w:t>[1] J. M. Bates and C. W. J. Granger, “The combination of forecasts,” Operational Research Quarterly, vol. 20, no. 4, pp. 451–468, 1969.</w:t>
            </w:r>
          </w:p>
          <w:p>
            <w:r>
              <w:rPr>
                <w:rFonts w:ascii="Times New Roman" w:hAnsi="Times New Roman" w:eastAsia="Times New Roman"/>
                <w:b w:val="0"/>
                <w:i w:val="0"/>
                <w:sz w:val="18"/>
              </w:rPr>
              <w:t>[2] R. A. Jacobs, M. I. Jordan, S. J. Nowlan, and G. E. Hinton, “Adaptive mixtures of local experts,” Neural Computation, vol. 3, no. 1, pp. 79–87, 1991.</w:t>
            </w:r>
          </w:p>
          <w:p>
            <w:r>
              <w:rPr>
                <w:rFonts w:ascii="Times New Roman" w:hAnsi="Times New Roman" w:eastAsia="Times New Roman"/>
                <w:b w:val="0"/>
                <w:i w:val="0"/>
                <w:sz w:val="18"/>
              </w:rPr>
              <w:t>[3] F. X. Diebold and R. S. Mariano, “Comparing predictive accuracy,” Journal of Business &amp; Economic Statistics, vol. 13, no. 3, pp. 253–263, 1995.</w:t>
            </w:r>
          </w:p>
          <w:p>
            <w:r>
              <w:rPr>
                <w:rFonts w:ascii="Times New Roman" w:hAnsi="Times New Roman" w:eastAsia="Times New Roman"/>
                <w:b w:val="0"/>
                <w:i w:val="0"/>
                <w:sz w:val="18"/>
              </w:rPr>
              <w:t>[4] R. J. Hyndman and A. B. Koehler, “Another look at measures of forecast accuracy,” International Journal of Forecasting, vol. 22, no. 4, pp. 679–688, 2006.</w:t>
            </w:r>
          </w:p>
          <w:p>
            <w:r>
              <w:rPr>
                <w:rFonts w:ascii="Times New Roman" w:hAnsi="Times New Roman" w:eastAsia="Times New Roman"/>
                <w:b w:val="0"/>
                <w:i w:val="0"/>
                <w:sz w:val="18"/>
              </w:rPr>
              <w:t>[5] H. Working, “The theory of price of storage,” American Economic Review, vol. 39, no. 6, pp. 1254–1262, 1949.</w:t>
            </w:r>
          </w:p>
        </w:tc>
      </w:tr>
    </w:tbl>
    <w:p w14:paraId="4AA721FA" w14:textId="77777777" w:rsidR="004B5301" w:rsidRDefault="004B5301">
      <w:pPr>
        <w:rPr>
          <w:rFonts w:ascii="Times New Roman" w:hAnsi="Times New Roman" w:cs="Times New Roman"/>
        </w:rPr>
      </w:pPr>
    </w:p>
    <w:p>
      <w:r>
        <w:rPr>
          <w:rFonts w:ascii="Times New Roman" w:hAnsi="Times New Roman"/>
          <w:b/>
          <w:i w:val="0"/>
          <w:sz w:val="24"/>
        </w:rPr>
      </w:r>
    </w:p>
    <w:p>
      <w:r>
        <w:rPr>
          <w:rFonts w:ascii="Times New Roman" w:hAnsi="Times New Roman"/>
          <w:b/>
          <w:i w:val="0"/>
          <w:sz w:val="24"/>
        </w:rPr>
        <w:t>Table-1: Student Competencies</w:t>
      </w:r>
    </w:p>
    <w:tbl>
      <w:tblPr>
        <w:tblStyle w:val="TableGrid"/>
        <w:tblW w:type="auto" w:w="0"/>
        <w:tblLook w:firstColumn="1" w:firstRow="1" w:lastColumn="0" w:lastRow="0" w:noHBand="0" w:noVBand="1" w:val="04A0"/>
      </w:tblPr>
      <w:tblGrid>
        <w:gridCol w:w="2018"/>
        <w:gridCol w:w="2018"/>
        <w:gridCol w:w="2018"/>
        <w:gridCol w:w="2018"/>
        <w:gridCol w:w="2018"/>
      </w:tblGrid>
      <w:tr>
        <w:tc>
          <w:tcPr>
            <w:tcW w:type="dxa" w:w="2018"/>
          </w:tcPr>
          <w:p>
            <w:r/>
            <w:r>
              <w:rPr>
                <w:rFonts w:ascii="Times New Roman" w:hAnsi="Times New Roman"/>
                <w:b/>
                <w:i w:val="0"/>
                <w:sz w:val="20"/>
              </w:rPr>
              <w:t>Team Member</w:t>
            </w:r>
          </w:p>
        </w:tc>
        <w:tc>
          <w:tcPr>
            <w:tcW w:type="dxa" w:w="2018"/>
          </w:tcPr>
          <w:p>
            <w:r/>
            <w:r>
              <w:rPr>
                <w:rFonts w:ascii="Times New Roman" w:hAnsi="Times New Roman"/>
                <w:b/>
                <w:i w:val="0"/>
                <w:sz w:val="20"/>
              </w:rPr>
              <w:t>Register No.</w:t>
            </w:r>
          </w:p>
        </w:tc>
        <w:tc>
          <w:tcPr>
            <w:tcW w:type="dxa" w:w="2018"/>
          </w:tcPr>
          <w:p>
            <w:r/>
            <w:r>
              <w:rPr>
                <w:rFonts w:ascii="Times New Roman" w:hAnsi="Times New Roman"/>
                <w:b/>
                <w:i w:val="0"/>
                <w:sz w:val="20"/>
              </w:rPr>
              <w:t>Primary Role</w:t>
            </w:r>
          </w:p>
        </w:tc>
        <w:tc>
          <w:tcPr>
            <w:tcW w:type="dxa" w:w="2018"/>
          </w:tcPr>
          <w:p>
            <w:r/>
            <w:r>
              <w:rPr>
                <w:rFonts w:ascii="Times New Roman" w:hAnsi="Times New Roman"/>
                <w:b/>
                <w:i w:val="0"/>
                <w:sz w:val="20"/>
              </w:rPr>
              <w:t>Key Competency</w:t>
            </w:r>
          </w:p>
        </w:tc>
        <w:tc>
          <w:tcPr>
            <w:tcW w:type="dxa" w:w="2018"/>
          </w:tcPr>
          <w:p>
            <w:r/>
            <w:r>
              <w:rPr>
                <w:rFonts w:ascii="Times New Roman" w:hAnsi="Times New Roman"/>
                <w:b/>
                <w:i w:val="0"/>
                <w:sz w:val="20"/>
              </w:rPr>
              <w:t>WK/WP Code</w:t>
            </w:r>
          </w:p>
        </w:tc>
      </w:tr>
      <w:tr>
        <w:tc>
          <w:tcPr>
            <w:tcW w:type="dxa" w:w="2018"/>
          </w:tcPr>
          <w:p>
            <w:r/>
            <w:r>
              <w:rPr>
                <w:rFonts w:ascii="Times New Roman" w:hAnsi="Times New Roman"/>
                <w:b w:val="0"/>
                <w:i w:val="0"/>
                <w:sz w:val="20"/>
              </w:rPr>
              <w:t>&lt;&lt;Name&gt;&gt;</w:t>
            </w:r>
          </w:p>
        </w:tc>
        <w:tc>
          <w:tcPr>
            <w:tcW w:type="dxa" w:w="2018"/>
          </w:tcPr>
          <w:p>
            <w:r/>
            <w:r>
              <w:rPr>
                <w:rFonts w:ascii="Times New Roman" w:hAnsi="Times New Roman"/>
                <w:b w:val="0"/>
                <w:i w:val="0"/>
                <w:sz w:val="20"/>
              </w:rPr>
              <w:t>&lt;&lt;Reg No&gt;&gt;</w:t>
            </w:r>
          </w:p>
        </w:tc>
        <w:tc>
          <w:tcPr>
            <w:tcW w:type="dxa" w:w="2018"/>
          </w:tcPr>
          <w:p>
            <w:r/>
            <w:r>
              <w:rPr>
                <w:rFonts w:ascii="Times New Roman" w:hAnsi="Times New Roman"/>
                <w:b w:val="0"/>
                <w:i w:val="0"/>
                <w:sz w:val="20"/>
              </w:rPr>
              <w:t>&lt;&lt;e.g. Modelling &amp; Experiments&gt;&gt;</w:t>
            </w:r>
          </w:p>
        </w:tc>
        <w:tc>
          <w:tcPr>
            <w:tcW w:type="dxa" w:w="2018"/>
          </w:tcPr>
          <w:p>
            <w:r/>
            <w:r>
              <w:rPr>
                <w:rFonts w:ascii="Times New Roman" w:hAnsi="Times New Roman"/>
                <w:b w:val="0"/>
                <w:i w:val="0"/>
                <w:sz w:val="20"/>
              </w:rPr>
              <w:t>&lt;&lt;e.g. ML / statistics&gt;&gt;</w:t>
            </w:r>
          </w:p>
        </w:tc>
        <w:tc>
          <w:tcPr>
            <w:tcW w:type="dxa" w:w="2018"/>
          </w:tcPr>
          <w:p>
            <w:r/>
            <w:r>
              <w:rPr>
                <w:rFonts w:ascii="Times New Roman" w:hAnsi="Times New Roman"/>
                <w:b w:val="0"/>
                <w:i w:val="0"/>
                <w:sz w:val="20"/>
              </w:rPr>
              <w:t>&lt;&lt;TBD with supervisor&gt;&gt;</w:t>
            </w:r>
          </w:p>
        </w:tc>
      </w:tr>
      <w:tr>
        <w:tc>
          <w:tcPr>
            <w:tcW w:type="dxa" w:w="2018"/>
          </w:tcPr>
          <w:p>
            <w:r/>
            <w:r>
              <w:rPr>
                <w:rFonts w:ascii="Times New Roman" w:hAnsi="Times New Roman"/>
                <w:b w:val="0"/>
                <w:i w:val="0"/>
                <w:sz w:val="20"/>
              </w:rPr>
              <w:t>&lt;&lt;Name&gt;&gt;</w:t>
            </w:r>
          </w:p>
        </w:tc>
        <w:tc>
          <w:tcPr>
            <w:tcW w:type="dxa" w:w="2018"/>
          </w:tcPr>
          <w:p>
            <w:r/>
            <w:r>
              <w:rPr>
                <w:rFonts w:ascii="Times New Roman" w:hAnsi="Times New Roman"/>
                <w:b w:val="0"/>
                <w:i w:val="0"/>
                <w:sz w:val="20"/>
              </w:rPr>
              <w:t>&lt;&lt;Reg No&gt;&gt;</w:t>
            </w:r>
          </w:p>
        </w:tc>
        <w:tc>
          <w:tcPr>
            <w:tcW w:type="dxa" w:w="2018"/>
          </w:tcPr>
          <w:p>
            <w:r/>
            <w:r>
              <w:rPr>
                <w:rFonts w:ascii="Times New Roman" w:hAnsi="Times New Roman"/>
                <w:b w:val="0"/>
                <w:i w:val="0"/>
                <w:sz w:val="20"/>
              </w:rPr>
              <w:t>&lt;&lt;e.g. Data Engineering&gt;&gt;</w:t>
            </w:r>
          </w:p>
        </w:tc>
        <w:tc>
          <w:tcPr>
            <w:tcW w:type="dxa" w:w="2018"/>
          </w:tcPr>
          <w:p>
            <w:r/>
            <w:r>
              <w:rPr>
                <w:rFonts w:ascii="Times New Roman" w:hAnsi="Times New Roman"/>
                <w:b w:val="0"/>
                <w:i w:val="0"/>
                <w:sz w:val="20"/>
              </w:rPr>
              <w:t>&lt;&lt;e.g. Software engineering&gt;&gt;</w:t>
            </w:r>
          </w:p>
        </w:tc>
        <w:tc>
          <w:tcPr>
            <w:tcW w:type="dxa" w:w="2018"/>
          </w:tcPr>
          <w:p>
            <w:r/>
            <w:r>
              <w:rPr>
                <w:rFonts w:ascii="Times New Roman" w:hAnsi="Times New Roman"/>
                <w:b w:val="0"/>
                <w:i w:val="0"/>
                <w:sz w:val="20"/>
              </w:rPr>
              <w:t>&lt;&lt;TBD with supervisor&gt;&gt;</w:t>
            </w:r>
          </w:p>
        </w:tc>
      </w:tr>
      <w:tr>
        <w:tc>
          <w:tcPr>
            <w:tcW w:type="dxa" w:w="2018"/>
          </w:tcPr>
          <w:p>
            <w:r/>
            <w:r>
              <w:rPr>
                <w:rFonts w:ascii="Times New Roman" w:hAnsi="Times New Roman"/>
                <w:b w:val="0"/>
                <w:i w:val="0"/>
                <w:sz w:val="20"/>
              </w:rPr>
              <w:t>&lt;&lt;Name&gt;&gt;</w:t>
            </w:r>
          </w:p>
        </w:tc>
        <w:tc>
          <w:tcPr>
            <w:tcW w:type="dxa" w:w="2018"/>
          </w:tcPr>
          <w:p>
            <w:r/>
            <w:r>
              <w:rPr>
                <w:rFonts w:ascii="Times New Roman" w:hAnsi="Times New Roman"/>
                <w:b w:val="0"/>
                <w:i w:val="0"/>
                <w:sz w:val="20"/>
              </w:rPr>
              <w:t>&lt;&lt;Reg No&gt;&gt;</w:t>
            </w:r>
          </w:p>
        </w:tc>
        <w:tc>
          <w:tcPr>
            <w:tcW w:type="dxa" w:w="2018"/>
          </w:tcPr>
          <w:p>
            <w:r/>
            <w:r>
              <w:rPr>
                <w:rFonts w:ascii="Times New Roman" w:hAnsi="Times New Roman"/>
                <w:b w:val="0"/>
                <w:i w:val="0"/>
                <w:sz w:val="20"/>
              </w:rPr>
              <w:t>&lt;&lt;e.g. Report &amp; Analysis&gt;&gt;</w:t>
            </w:r>
          </w:p>
        </w:tc>
        <w:tc>
          <w:tcPr>
            <w:tcW w:type="dxa" w:w="2018"/>
          </w:tcPr>
          <w:p>
            <w:r/>
            <w:r>
              <w:rPr>
                <w:rFonts w:ascii="Times New Roman" w:hAnsi="Times New Roman"/>
                <w:b w:val="0"/>
                <w:i w:val="0"/>
                <w:sz w:val="20"/>
              </w:rPr>
              <w:t>&lt;&lt;e.g. Technical writing&gt;&gt;</w:t>
            </w:r>
          </w:p>
        </w:tc>
        <w:tc>
          <w:tcPr>
            <w:tcW w:type="dxa" w:w="2018"/>
          </w:tcPr>
          <w:p>
            <w:r/>
            <w:r>
              <w:rPr>
                <w:rFonts w:ascii="Times New Roman" w:hAnsi="Times New Roman"/>
                <w:b w:val="0"/>
                <w:i w:val="0"/>
                <w:sz w:val="20"/>
              </w:rPr>
              <w:t>&lt;&lt;TBD with supervisor&gt;&gt;</w:t>
            </w:r>
          </w:p>
        </w:tc>
      </w:tr>
    </w:tbl>
    <w:p>
      <w:r>
        <w:rPr>
          <w:rFonts w:ascii="Times New Roman" w:hAnsi="Times New Roman"/>
          <w:b/>
          <w:i w:val="0"/>
          <w:sz w:val="24"/>
        </w:rPr>
      </w:r>
    </w:p>
    <w:p>
      <w:r>
        <w:rPr>
          <w:rFonts w:ascii="Times New Roman" w:hAnsi="Times New Roman"/>
          <w:b/>
          <w:i w:val="0"/>
          <w:sz w:val="24"/>
        </w:rPr>
        <w:t>Table-2: Cost Analysis and Final Budget</w:t>
      </w:r>
    </w:p>
    <w:tbl>
      <w:tblPr>
        <w:tblStyle w:val="TableGrid"/>
        <w:tblW w:type="auto" w:w="0"/>
        <w:tblLook w:firstColumn="1" w:firstRow="1" w:lastColumn="0" w:lastRow="0" w:noHBand="0" w:noVBand="1" w:val="04A0"/>
      </w:tblPr>
      <w:tblGrid>
        <w:gridCol w:w="3364"/>
        <w:gridCol w:w="3364"/>
        <w:gridCol w:w="3364"/>
      </w:tblGrid>
      <w:tr>
        <w:tc>
          <w:tcPr>
            <w:tcW w:type="dxa" w:w="3364"/>
          </w:tcPr>
          <w:p>
            <w:r/>
            <w:r>
              <w:rPr>
                <w:rFonts w:ascii="Times New Roman" w:hAnsi="Times New Roman"/>
                <w:b/>
                <w:i w:val="0"/>
                <w:sz w:val="20"/>
              </w:rPr>
              <w:t>Item</w:t>
            </w:r>
          </w:p>
        </w:tc>
        <w:tc>
          <w:tcPr>
            <w:tcW w:type="dxa" w:w="3364"/>
          </w:tcPr>
          <w:p>
            <w:r/>
            <w:r>
              <w:rPr>
                <w:rFonts w:ascii="Times New Roman" w:hAnsi="Times New Roman"/>
                <w:b/>
                <w:i w:val="0"/>
                <w:sz w:val="20"/>
              </w:rPr>
              <w:t>Description</w:t>
            </w:r>
          </w:p>
        </w:tc>
        <w:tc>
          <w:tcPr>
            <w:tcW w:type="dxa" w:w="3364"/>
          </w:tcPr>
          <w:p>
            <w:r/>
            <w:r>
              <w:rPr>
                <w:rFonts w:ascii="Times New Roman" w:hAnsi="Times New Roman"/>
                <w:b/>
                <w:i w:val="0"/>
                <w:sz w:val="20"/>
              </w:rPr>
              <w:t>Estimated Cost</w:t>
            </w:r>
          </w:p>
        </w:tc>
      </w:tr>
      <w:tr>
        <w:tc>
          <w:tcPr>
            <w:tcW w:type="dxa" w:w="3364"/>
          </w:tcPr>
          <w:p>
            <w:r/>
            <w:r>
              <w:rPr>
                <w:rFonts w:ascii="Times New Roman" w:hAnsi="Times New Roman"/>
                <w:b w:val="0"/>
                <w:i w:val="0"/>
                <w:sz w:val="20"/>
              </w:rPr>
              <w:t>Daily zinc price data</w:t>
            </w:r>
          </w:p>
        </w:tc>
        <w:tc>
          <w:tcPr>
            <w:tcW w:type="dxa" w:w="3364"/>
          </w:tcPr>
          <w:p>
            <w:r/>
            <w:r>
              <w:rPr>
                <w:rFonts w:ascii="Times New Roman" w:hAnsi="Times New Roman"/>
                <w:b w:val="0"/>
                <w:i w:val="0"/>
                <w:sz w:val="20"/>
              </w:rPr>
              <w:t>One-time historical pull (paid API / vendor export)</w:t>
            </w:r>
          </w:p>
        </w:tc>
        <w:tc>
          <w:tcPr>
            <w:tcW w:type="dxa" w:w="3364"/>
          </w:tcPr>
          <w:p>
            <w:r/>
            <w:r>
              <w:rPr>
                <w:rFonts w:ascii="Times New Roman" w:hAnsi="Times New Roman"/>
                <w:b w:val="0"/>
                <w:i w:val="0"/>
                <w:sz w:val="20"/>
              </w:rPr>
              <w:t>≈ USD 20 (one-time)</w:t>
            </w:r>
          </w:p>
        </w:tc>
      </w:tr>
      <w:tr>
        <w:tc>
          <w:tcPr>
            <w:tcW w:type="dxa" w:w="3364"/>
          </w:tcPr>
          <w:p>
            <w:r/>
            <w:r>
              <w:rPr>
                <w:rFonts w:ascii="Times New Roman" w:hAnsi="Times New Roman"/>
                <w:b w:val="0"/>
                <w:i w:val="0"/>
                <w:sz w:val="20"/>
              </w:rPr>
              <w:t>LME warehouse-inventory data</w:t>
            </w:r>
          </w:p>
        </w:tc>
        <w:tc>
          <w:tcPr>
            <w:tcW w:type="dxa" w:w="3364"/>
          </w:tcPr>
          <w:p>
            <w:r/>
            <w:r>
              <w:rPr>
                <w:rFonts w:ascii="Times New Roman" w:hAnsi="Times New Roman"/>
                <w:b w:val="0"/>
                <w:i w:val="0"/>
                <w:sz w:val="20"/>
              </w:rPr>
              <w:t>Historical stock-level series (institutional / licensed access, or university Bloomberg-Refinitiv access)</w:t>
            </w:r>
          </w:p>
        </w:tc>
        <w:tc>
          <w:tcPr>
            <w:tcW w:type="dxa" w:w="3364"/>
          </w:tcPr>
          <w:p>
            <w:r/>
            <w:r>
              <w:rPr>
                <w:rFonts w:ascii="Times New Roman" w:hAnsi="Times New Roman"/>
                <w:b w:val="0"/>
                <w:i w:val="0"/>
                <w:sz w:val="20"/>
              </w:rPr>
              <w:t>To be confirmed</w:t>
            </w:r>
          </w:p>
        </w:tc>
      </w:tr>
      <w:tr>
        <w:tc>
          <w:tcPr>
            <w:tcW w:type="dxa" w:w="3364"/>
          </w:tcPr>
          <w:p>
            <w:r/>
            <w:r>
              <w:rPr>
                <w:rFonts w:ascii="Times New Roman" w:hAnsi="Times New Roman"/>
                <w:b w:val="0"/>
                <w:i w:val="0"/>
                <w:sz w:val="20"/>
              </w:rPr>
              <w:t>Compute</w:t>
            </w:r>
          </w:p>
        </w:tc>
        <w:tc>
          <w:tcPr>
            <w:tcW w:type="dxa" w:w="3364"/>
          </w:tcPr>
          <w:p>
            <w:r/>
            <w:r>
              <w:rPr>
                <w:rFonts w:ascii="Times New Roman" w:hAnsi="Times New Roman"/>
                <w:b w:val="0"/>
                <w:i w:val="0"/>
                <w:sz w:val="20"/>
              </w:rPr>
              <w:t>Local CPU sufficient; optional cloud burst for large backtests</w:t>
            </w:r>
          </w:p>
        </w:tc>
        <w:tc>
          <w:tcPr>
            <w:tcW w:type="dxa" w:w="3364"/>
          </w:tcPr>
          <w:p>
            <w:r/>
            <w:r>
              <w:rPr>
                <w:rFonts w:ascii="Times New Roman" w:hAnsi="Times New Roman"/>
                <w:b w:val="0"/>
                <w:i w:val="0"/>
                <w:sz w:val="20"/>
              </w:rPr>
              <w:t>USD 0–50</w:t>
            </w:r>
          </w:p>
        </w:tc>
      </w:tr>
      <w:tr>
        <w:tc>
          <w:tcPr>
            <w:tcW w:type="dxa" w:w="3364"/>
          </w:tcPr>
          <w:p>
            <w:r/>
            <w:r>
              <w:rPr>
                <w:rFonts w:ascii="Times New Roman" w:hAnsi="Times New Roman"/>
                <w:b w:val="0"/>
                <w:i w:val="0"/>
                <w:sz w:val="20"/>
              </w:rPr>
              <w:t>Software</w:t>
            </w:r>
          </w:p>
        </w:tc>
        <w:tc>
          <w:tcPr>
            <w:tcW w:type="dxa" w:w="3364"/>
          </w:tcPr>
          <w:p>
            <w:r/>
            <w:r>
              <w:rPr>
                <w:rFonts w:ascii="Times New Roman" w:hAnsi="Times New Roman"/>
                <w:b w:val="0"/>
                <w:i w:val="0"/>
                <w:sz w:val="20"/>
              </w:rPr>
              <w:t>Open-source Python ecosystem</w:t>
            </w:r>
          </w:p>
        </w:tc>
        <w:tc>
          <w:tcPr>
            <w:tcW w:type="dxa" w:w="3364"/>
          </w:tcPr>
          <w:p>
            <w:r/>
            <w:r>
              <w:rPr>
                <w:rFonts w:ascii="Times New Roman" w:hAnsi="Times New Roman"/>
                <w:b w:val="0"/>
                <w:i w:val="0"/>
                <w:sz w:val="20"/>
              </w:rPr>
              <w:t>USD 0</w:t>
            </w:r>
          </w:p>
        </w:tc>
      </w:tr>
      <w:tr>
        <w:tc>
          <w:tcPr>
            <w:tcW w:type="dxa" w:w="3364"/>
          </w:tcPr>
          <w:p>
            <w:r/>
            <w:r>
              <w:rPr>
                <w:rFonts w:ascii="Times New Roman" w:hAnsi="Times New Roman"/>
                <w:b w:val="0"/>
                <w:i w:val="0"/>
                <w:sz w:val="20"/>
              </w:rPr>
              <w:t>Contingency</w:t>
            </w:r>
          </w:p>
        </w:tc>
        <w:tc>
          <w:tcPr>
            <w:tcW w:type="dxa" w:w="3364"/>
          </w:tcPr>
          <w:p>
            <w:r/>
            <w:r>
              <w:rPr>
                <w:rFonts w:ascii="Times New Roman" w:hAnsi="Times New Roman"/>
                <w:b w:val="0"/>
                <w:i w:val="0"/>
                <w:sz w:val="20"/>
              </w:rPr>
              <w:t>~10% of the above</w:t>
            </w:r>
          </w:p>
        </w:tc>
        <w:tc>
          <w:tcPr>
            <w:tcW w:type="dxa" w:w="3364"/>
          </w:tcPr>
          <w:p>
            <w:r/>
            <w:r>
              <w:rPr>
                <w:rFonts w:ascii="Times New Roman" w:hAnsi="Times New Roman"/>
                <w:b w:val="0"/>
                <w:i w:val="0"/>
                <w:sz w:val="20"/>
              </w:rPr>
              <w:t>≈ USD 10–20</w:t>
            </w:r>
          </w:p>
        </w:tc>
      </w:tr>
    </w:tbl>
    <w:p>
      <w:r>
        <w:rPr>
          <w:rFonts w:ascii="Times New Roman" w:hAnsi="Times New Roman"/>
          <w:b/>
          <w:i w:val="0"/>
          <w:sz w:val="24"/>
        </w:rPr>
      </w:r>
    </w:p>
    <w:p>
      <w:r>
        <w:rPr>
          <w:rFonts w:ascii="Times New Roman" w:hAnsi="Times New Roman"/>
          <w:b/>
          <w:i w:val="0"/>
          <w:sz w:val="24"/>
        </w:rPr>
        <w:t>Table-3: Manpower Calculation</w:t>
      </w:r>
    </w:p>
    <w:tbl>
      <w:tblPr>
        <w:tblStyle w:val="TableGrid"/>
        <w:tblW w:type="auto" w:w="0"/>
        <w:tblLook w:firstColumn="1" w:firstRow="1" w:lastColumn="0" w:lastRow="0" w:noHBand="0" w:noVBand="1" w:val="04A0"/>
      </w:tblPr>
      <w:tblGrid>
        <w:gridCol w:w="3364"/>
        <w:gridCol w:w="3364"/>
        <w:gridCol w:w="3364"/>
      </w:tblGrid>
      <w:tr>
        <w:tc>
          <w:tcPr>
            <w:tcW w:type="dxa" w:w="3364"/>
          </w:tcPr>
          <w:p>
            <w:r/>
            <w:r>
              <w:rPr>
                <w:rFonts w:ascii="Times New Roman" w:hAnsi="Times New Roman"/>
                <w:b/>
                <w:i w:val="0"/>
                <w:sz w:val="20"/>
              </w:rPr>
              <w:t>Phase</w:t>
            </w:r>
          </w:p>
        </w:tc>
        <w:tc>
          <w:tcPr>
            <w:tcW w:type="dxa" w:w="3364"/>
          </w:tcPr>
          <w:p>
            <w:r/>
            <w:r>
              <w:rPr>
                <w:rFonts w:ascii="Times New Roman" w:hAnsi="Times New Roman"/>
                <w:b/>
                <w:i w:val="0"/>
                <w:sz w:val="20"/>
              </w:rPr>
              <w:t>Task</w:t>
            </w:r>
          </w:p>
        </w:tc>
        <w:tc>
          <w:tcPr>
            <w:tcW w:type="dxa" w:w="3364"/>
          </w:tcPr>
          <w:p>
            <w:r/>
            <w:r>
              <w:rPr>
                <w:rFonts w:ascii="Times New Roman" w:hAnsi="Times New Roman"/>
                <w:b/>
                <w:i w:val="0"/>
                <w:sz w:val="20"/>
              </w:rPr>
              <w:t>Estimated Effort</w:t>
            </w:r>
          </w:p>
        </w:tc>
      </w:tr>
      <w:tr>
        <w:tc>
          <w:tcPr>
            <w:tcW w:type="dxa" w:w="3364"/>
          </w:tcPr>
          <w:p>
            <w:r/>
            <w:r>
              <w:rPr>
                <w:rFonts w:ascii="Times New Roman" w:hAnsi="Times New Roman"/>
                <w:b w:val="0"/>
                <w:i w:val="0"/>
                <w:sz w:val="20"/>
              </w:rPr>
              <w:t>Data acquisition</w:t>
            </w:r>
          </w:p>
        </w:tc>
        <w:tc>
          <w:tcPr>
            <w:tcW w:type="dxa" w:w="3364"/>
          </w:tcPr>
          <w:p>
            <w:r/>
            <w:r>
              <w:rPr>
                <w:rFonts w:ascii="Times New Roman" w:hAnsi="Times New Roman"/>
                <w:b w:val="0"/>
                <w:i w:val="0"/>
                <w:sz w:val="20"/>
              </w:rPr>
              <w:t>Sourcing and preparing real price and inventory data</w:t>
            </w:r>
          </w:p>
        </w:tc>
        <w:tc>
          <w:tcPr>
            <w:tcW w:type="dxa" w:w="3364"/>
          </w:tcPr>
          <w:p>
            <w:r/>
            <w:r>
              <w:rPr>
                <w:rFonts w:ascii="Times New Roman" w:hAnsi="Times New Roman"/>
                <w:b w:val="0"/>
                <w:i w:val="0"/>
                <w:sz w:val="20"/>
              </w:rPr>
              <w:t>5–7 person-days</w:t>
            </w:r>
          </w:p>
        </w:tc>
      </w:tr>
      <w:tr>
        <w:tc>
          <w:tcPr>
            <w:tcW w:type="dxa" w:w="3364"/>
          </w:tcPr>
          <w:p>
            <w:r/>
            <w:r>
              <w:rPr>
                <w:rFonts w:ascii="Times New Roman" w:hAnsi="Times New Roman"/>
                <w:b w:val="0"/>
                <w:i w:val="0"/>
                <w:sz w:val="20"/>
              </w:rPr>
              <w:t>Literature review</w:t>
            </w:r>
          </w:p>
        </w:tc>
        <w:tc>
          <w:tcPr>
            <w:tcW w:type="dxa" w:w="3364"/>
          </w:tcPr>
          <w:p>
            <w:r/>
            <w:r>
              <w:rPr>
                <w:rFonts w:ascii="Times New Roman" w:hAnsi="Times New Roman"/>
                <w:b w:val="0"/>
                <w:i w:val="0"/>
                <w:sz w:val="20"/>
              </w:rPr>
              <w:t>Compiling and engaging with related work</w:t>
            </w:r>
          </w:p>
        </w:tc>
        <w:tc>
          <w:tcPr>
            <w:tcW w:type="dxa" w:w="3364"/>
          </w:tcPr>
          <w:p>
            <w:r/>
            <w:r>
              <w:rPr>
                <w:rFonts w:ascii="Times New Roman" w:hAnsi="Times New Roman"/>
                <w:b w:val="0"/>
                <w:i w:val="0"/>
                <w:sz w:val="20"/>
              </w:rPr>
              <w:t>5 person-days</w:t>
            </w:r>
          </w:p>
        </w:tc>
      </w:tr>
      <w:tr>
        <w:tc>
          <w:tcPr>
            <w:tcW w:type="dxa" w:w="3364"/>
          </w:tcPr>
          <w:p>
            <w:r/>
            <w:r>
              <w:rPr>
                <w:rFonts w:ascii="Times New Roman" w:hAnsi="Times New Roman"/>
                <w:b w:val="0"/>
                <w:i w:val="0"/>
                <w:sz w:val="20"/>
              </w:rPr>
              <w:t>Algorithm refinement</w:t>
            </w:r>
          </w:p>
        </w:tc>
        <w:tc>
          <w:tcPr>
            <w:tcW w:type="dxa" w:w="3364"/>
          </w:tcPr>
          <w:p>
            <w:r/>
            <w:r>
              <w:rPr>
                <w:rFonts w:ascii="Times New Roman" w:hAnsi="Times New Roman"/>
                <w:b w:val="0"/>
                <w:i w:val="0"/>
                <w:sz w:val="20"/>
              </w:rPr>
              <w:t>Extending the confidence-calibration mechanism</w:t>
            </w:r>
          </w:p>
        </w:tc>
        <w:tc>
          <w:tcPr>
            <w:tcW w:type="dxa" w:w="3364"/>
          </w:tcPr>
          <w:p>
            <w:r/>
            <w:r>
              <w:rPr>
                <w:rFonts w:ascii="Times New Roman" w:hAnsi="Times New Roman"/>
                <w:b w:val="0"/>
                <w:i w:val="0"/>
                <w:sz w:val="20"/>
              </w:rPr>
              <w:t>5–7 person-days</w:t>
            </w:r>
          </w:p>
        </w:tc>
      </w:tr>
      <w:tr>
        <w:tc>
          <w:tcPr>
            <w:tcW w:type="dxa" w:w="3364"/>
          </w:tcPr>
          <w:p>
            <w:r/>
            <w:r>
              <w:rPr>
                <w:rFonts w:ascii="Times New Roman" w:hAnsi="Times New Roman"/>
                <w:b w:val="0"/>
                <w:i w:val="0"/>
                <w:sz w:val="20"/>
              </w:rPr>
              <w:t>Real-data experiments</w:t>
            </w:r>
          </w:p>
        </w:tc>
        <w:tc>
          <w:tcPr>
            <w:tcW w:type="dxa" w:w="3364"/>
          </w:tcPr>
          <w:p>
            <w:r/>
            <w:r>
              <w:rPr>
                <w:rFonts w:ascii="Times New Roman" w:hAnsi="Times New Roman"/>
                <w:b w:val="0"/>
                <w:i w:val="0"/>
                <w:sz w:val="20"/>
              </w:rPr>
              <w:t>Re-running walk-forward backtests and ablations</w:t>
            </w:r>
          </w:p>
        </w:tc>
        <w:tc>
          <w:tcPr>
            <w:tcW w:type="dxa" w:w="3364"/>
          </w:tcPr>
          <w:p>
            <w:r/>
            <w:r>
              <w:rPr>
                <w:rFonts w:ascii="Times New Roman" w:hAnsi="Times New Roman"/>
                <w:b w:val="0"/>
                <w:i w:val="0"/>
                <w:sz w:val="20"/>
              </w:rPr>
              <w:t>5 person-days</w:t>
            </w:r>
          </w:p>
        </w:tc>
      </w:tr>
      <w:tr>
        <w:tc>
          <w:tcPr>
            <w:tcW w:type="dxa" w:w="3364"/>
          </w:tcPr>
          <w:p>
            <w:r/>
            <w:r>
              <w:rPr>
                <w:rFonts w:ascii="Times New Roman" w:hAnsi="Times New Roman"/>
                <w:b w:val="0"/>
                <w:i w:val="0"/>
                <w:sz w:val="20"/>
              </w:rPr>
              <w:t>Manuscript drafting</w:t>
            </w:r>
          </w:p>
        </w:tc>
        <w:tc>
          <w:tcPr>
            <w:tcW w:type="dxa" w:w="3364"/>
          </w:tcPr>
          <w:p>
            <w:r/>
            <w:r>
              <w:rPr>
                <w:rFonts w:ascii="Times New Roman" w:hAnsi="Times New Roman"/>
                <w:b w:val="0"/>
                <w:i w:val="0"/>
                <w:sz w:val="20"/>
              </w:rPr>
              <w:t>Writing and revising the paper</w:t>
            </w:r>
          </w:p>
        </w:tc>
        <w:tc>
          <w:tcPr>
            <w:tcW w:type="dxa" w:w="3364"/>
          </w:tcPr>
          <w:p>
            <w:r/>
            <w:r>
              <w:rPr>
                <w:rFonts w:ascii="Times New Roman" w:hAnsi="Times New Roman"/>
                <w:b w:val="0"/>
                <w:i w:val="0"/>
                <w:sz w:val="20"/>
              </w:rPr>
              <w:t>10 person-days</w:t>
            </w:r>
          </w:p>
        </w:tc>
      </w:tr>
    </w:tbl>
    <w:p>
      <w:r>
        <w:rPr>
          <w:rFonts w:ascii="Times New Roman" w:hAnsi="Times New Roman"/>
          <w:b/>
          <w:i w:val="0"/>
          <w:sz w:val="24"/>
        </w:rPr>
      </w:r>
    </w:p>
    <w:p>
      <w:r>
        <w:rPr>
          <w:rFonts w:ascii="Times New Roman" w:hAnsi="Times New Roman"/>
          <w:b/>
          <w:i w:val="0"/>
          <w:sz w:val="24"/>
        </w:rPr>
        <w:t>Gantt Chart-1: Project Completion Stages and Outcomes</w:t>
      </w:r>
    </w:p>
    <w:tbl>
      <w:tblPr>
        <w:tblStyle w:val="TableGrid"/>
        <w:tblW w:type="auto" w:w="0"/>
        <w:tblLook w:firstColumn="1" w:firstRow="1" w:lastColumn="0" w:lastRow="0" w:noHBand="0" w:noVBand="1" w:val="04A0"/>
      </w:tblPr>
      <w:tblGrid>
        <w:gridCol w:w="3364"/>
        <w:gridCol w:w="3364"/>
        <w:gridCol w:w="3364"/>
      </w:tblGrid>
      <w:tr>
        <w:tc>
          <w:tcPr>
            <w:tcW w:type="dxa" w:w="3364"/>
          </w:tcPr>
          <w:p>
            <w:r/>
            <w:r>
              <w:rPr>
                <w:rFonts w:ascii="Times New Roman" w:hAnsi="Times New Roman"/>
                <w:b/>
                <w:i w:val="0"/>
                <w:sz w:val="20"/>
              </w:rPr>
              <w:t>Stage</w:t>
            </w:r>
          </w:p>
        </w:tc>
        <w:tc>
          <w:tcPr>
            <w:tcW w:type="dxa" w:w="3364"/>
          </w:tcPr>
          <w:p>
            <w:r/>
            <w:r>
              <w:rPr>
                <w:rFonts w:ascii="Times New Roman" w:hAnsi="Times New Roman"/>
                <w:b/>
                <w:i w:val="0"/>
                <w:sz w:val="20"/>
              </w:rPr>
              <w:t>Weeks</w:t>
            </w:r>
          </w:p>
        </w:tc>
        <w:tc>
          <w:tcPr>
            <w:tcW w:type="dxa" w:w="3364"/>
          </w:tcPr>
          <w:p>
            <w:r/>
            <w:r>
              <w:rPr>
                <w:rFonts w:ascii="Times New Roman" w:hAnsi="Times New Roman"/>
                <w:b/>
                <w:i w:val="0"/>
                <w:sz w:val="20"/>
              </w:rPr>
              <w:t>Outcome</w:t>
            </w:r>
          </w:p>
        </w:tc>
      </w:tr>
      <w:tr>
        <w:tc>
          <w:tcPr>
            <w:tcW w:type="dxa" w:w="3364"/>
          </w:tcPr>
          <w:p>
            <w:r/>
            <w:r>
              <w:rPr>
                <w:rFonts w:ascii="Times New Roman" w:hAnsi="Times New Roman"/>
                <w:b w:val="0"/>
                <w:i w:val="0"/>
                <w:sz w:val="20"/>
              </w:rPr>
              <w:t>Literature review &amp; data acquisition</w:t>
            </w:r>
          </w:p>
        </w:tc>
        <w:tc>
          <w:tcPr>
            <w:tcW w:type="dxa" w:w="3364"/>
          </w:tcPr>
          <w:p>
            <w:r/>
            <w:r>
              <w:rPr>
                <w:rFonts w:ascii="Times New Roman" w:hAnsi="Times New Roman"/>
                <w:b w:val="0"/>
                <w:i w:val="0"/>
                <w:sz w:val="20"/>
              </w:rPr>
              <w:t>1–3</w:t>
            </w:r>
          </w:p>
        </w:tc>
        <w:tc>
          <w:tcPr>
            <w:tcW w:type="dxa" w:w="3364"/>
          </w:tcPr>
          <w:p>
            <w:r/>
            <w:r>
              <w:rPr>
                <w:rFonts w:ascii="Times New Roman" w:hAnsi="Times New Roman"/>
                <w:b w:val="0"/>
                <w:i w:val="0"/>
                <w:sz w:val="20"/>
              </w:rPr>
              <w:t>Citations compiled; real price &amp; inventory data acquired</w:t>
            </w:r>
          </w:p>
        </w:tc>
      </w:tr>
      <w:tr>
        <w:tc>
          <w:tcPr>
            <w:tcW w:type="dxa" w:w="3364"/>
          </w:tcPr>
          <w:p>
            <w:r/>
            <w:r>
              <w:rPr>
                <w:rFonts w:ascii="Times New Roman" w:hAnsi="Times New Roman"/>
                <w:b w:val="0"/>
                <w:i w:val="0"/>
                <w:sz w:val="20"/>
              </w:rPr>
              <w:t>Real-data experiments</w:t>
            </w:r>
          </w:p>
        </w:tc>
        <w:tc>
          <w:tcPr>
            <w:tcW w:type="dxa" w:w="3364"/>
          </w:tcPr>
          <w:p>
            <w:r/>
            <w:r>
              <w:rPr>
                <w:rFonts w:ascii="Times New Roman" w:hAnsi="Times New Roman"/>
                <w:b w:val="0"/>
                <w:i w:val="0"/>
                <w:sz w:val="20"/>
              </w:rPr>
              <w:t>4–6</w:t>
            </w:r>
          </w:p>
        </w:tc>
        <w:tc>
          <w:tcPr>
            <w:tcW w:type="dxa" w:w="3364"/>
          </w:tcPr>
          <w:p>
            <w:r/>
            <w:r>
              <w:rPr>
                <w:rFonts w:ascii="Times New Roman" w:hAnsi="Times New Roman"/>
                <w:b w:val="0"/>
                <w:i w:val="0"/>
                <w:sz w:val="20"/>
              </w:rPr>
              <w:t>Walk-forward backtest and ablations re-run on real data</w:t>
            </w:r>
          </w:p>
        </w:tc>
      </w:tr>
      <w:tr>
        <w:tc>
          <w:tcPr>
            <w:tcW w:type="dxa" w:w="3364"/>
          </w:tcPr>
          <w:p>
            <w:r/>
            <w:r>
              <w:rPr>
                <w:rFonts w:ascii="Times New Roman" w:hAnsi="Times New Roman"/>
                <w:b w:val="0"/>
                <w:i w:val="0"/>
                <w:sz w:val="20"/>
              </w:rPr>
              <w:t>Algorithm refinement</w:t>
            </w:r>
          </w:p>
        </w:tc>
        <w:tc>
          <w:tcPr>
            <w:tcW w:type="dxa" w:w="3364"/>
          </w:tcPr>
          <w:p>
            <w:r/>
            <w:r>
              <w:rPr>
                <w:rFonts w:ascii="Times New Roman" w:hAnsi="Times New Roman"/>
                <w:b w:val="0"/>
                <w:i w:val="0"/>
                <w:sz w:val="20"/>
              </w:rPr>
              <w:t>7–9</w:t>
            </w:r>
          </w:p>
        </w:tc>
        <w:tc>
          <w:tcPr>
            <w:tcW w:type="dxa" w:w="3364"/>
          </w:tcPr>
          <w:p>
            <w:r/>
            <w:r>
              <w:rPr>
                <w:rFonts w:ascii="Times New Roman" w:hAnsi="Times New Roman"/>
                <w:b w:val="0"/>
                <w:i w:val="0"/>
                <w:sz w:val="20"/>
              </w:rPr>
              <w:t>Rolling-recalibration version of the confidence-aware router</w:t>
            </w:r>
          </w:p>
        </w:tc>
      </w:tr>
      <w:tr>
        <w:tc>
          <w:tcPr>
            <w:tcW w:type="dxa" w:w="3364"/>
          </w:tcPr>
          <w:p>
            <w:r/>
            <w:r>
              <w:rPr>
                <w:rFonts w:ascii="Times New Roman" w:hAnsi="Times New Roman"/>
                <w:b w:val="0"/>
                <w:i w:val="0"/>
                <w:sz w:val="20"/>
              </w:rPr>
              <w:t>Manuscript drafting</w:t>
            </w:r>
          </w:p>
        </w:tc>
        <w:tc>
          <w:tcPr>
            <w:tcW w:type="dxa" w:w="3364"/>
          </w:tcPr>
          <w:p>
            <w:r/>
            <w:r>
              <w:rPr>
                <w:rFonts w:ascii="Times New Roman" w:hAnsi="Times New Roman"/>
                <w:b w:val="0"/>
                <w:i w:val="0"/>
                <w:sz w:val="20"/>
              </w:rPr>
              <w:t>10–12</w:t>
            </w:r>
          </w:p>
        </w:tc>
        <w:tc>
          <w:tcPr>
            <w:tcW w:type="dxa" w:w="3364"/>
          </w:tcPr>
          <w:p>
            <w:r/>
            <w:r>
              <w:rPr>
                <w:rFonts w:ascii="Times New Roman" w:hAnsi="Times New Roman"/>
                <w:b w:val="0"/>
                <w:i w:val="0"/>
                <w:sz w:val="20"/>
              </w:rPr>
              <w:t>Full paper draft</w:t>
            </w:r>
          </w:p>
        </w:tc>
      </w:tr>
      <w:tr>
        <w:tc>
          <w:tcPr>
            <w:tcW w:type="dxa" w:w="3364"/>
          </w:tcPr>
          <w:p>
            <w:r/>
            <w:r>
              <w:rPr>
                <w:rFonts w:ascii="Times New Roman" w:hAnsi="Times New Roman"/>
                <w:b w:val="0"/>
                <w:i w:val="0"/>
                <w:sz w:val="20"/>
              </w:rPr>
              <w:t>Review &amp; submission</w:t>
            </w:r>
          </w:p>
        </w:tc>
        <w:tc>
          <w:tcPr>
            <w:tcW w:type="dxa" w:w="3364"/>
          </w:tcPr>
          <w:p>
            <w:r/>
            <w:r>
              <w:rPr>
                <w:rFonts w:ascii="Times New Roman" w:hAnsi="Times New Roman"/>
                <w:b w:val="0"/>
                <w:i w:val="0"/>
                <w:sz w:val="20"/>
              </w:rPr>
              <w:t>13–15</w:t>
            </w:r>
          </w:p>
        </w:tc>
        <w:tc>
          <w:tcPr>
            <w:tcW w:type="dxa" w:w="3364"/>
          </w:tcPr>
          <w:p>
            <w:r/>
            <w:r>
              <w:rPr>
                <w:rFonts w:ascii="Times New Roman" w:hAnsi="Times New Roman"/>
                <w:b w:val="0"/>
                <w:i w:val="0"/>
                <w:sz w:val="20"/>
              </w:rPr>
              <w:t>Finalised paper submitted to target venue</w:t>
            </w:r>
          </w:p>
        </w:tc>
      </w:tr>
    </w:tbl>
    <w:sectPr w:rsidR="00260439" w:rsidRPr="000421D9" w:rsidSect="007053BF">
      <w:pgSz w:w="12240" w:h="15840"/>
      <w:pgMar w:top="709" w:right="1440"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01"/>
    <w:rsid w:val="000421D9"/>
    <w:rsid w:val="0009560D"/>
    <w:rsid w:val="00247F8E"/>
    <w:rsid w:val="00260439"/>
    <w:rsid w:val="003F505C"/>
    <w:rsid w:val="004826E0"/>
    <w:rsid w:val="004B5301"/>
    <w:rsid w:val="005F023F"/>
    <w:rsid w:val="007053BF"/>
    <w:rsid w:val="00762304"/>
    <w:rsid w:val="00CD6B17"/>
    <w:rsid w:val="00EF79BF"/>
    <w:rsid w:val="00FC70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78F8"/>
  <w15:chartTrackingRefBased/>
  <w15:docId w15:val="{EB2CBE4C-C3F5-4749-A885-E4017B38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01"/>
    <w:rPr>
      <w:rFonts w:eastAsiaTheme="majorEastAsia" w:cstheme="majorBidi"/>
      <w:color w:val="272727" w:themeColor="text1" w:themeTint="D8"/>
    </w:rPr>
  </w:style>
  <w:style w:type="paragraph" w:styleId="Title">
    <w:name w:val="Title"/>
    <w:basedOn w:val="Normal"/>
    <w:next w:val="Normal"/>
    <w:link w:val="TitleChar"/>
    <w:uiPriority w:val="10"/>
    <w:qFormat/>
    <w:rsid w:val="004B5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01"/>
    <w:pPr>
      <w:spacing w:before="160"/>
      <w:jc w:val="center"/>
    </w:pPr>
    <w:rPr>
      <w:i/>
      <w:iCs/>
      <w:color w:val="404040" w:themeColor="text1" w:themeTint="BF"/>
    </w:rPr>
  </w:style>
  <w:style w:type="character" w:customStyle="1" w:styleId="QuoteChar">
    <w:name w:val="Quote Char"/>
    <w:basedOn w:val="DefaultParagraphFont"/>
    <w:link w:val="Quote"/>
    <w:uiPriority w:val="29"/>
    <w:rsid w:val="004B5301"/>
    <w:rPr>
      <w:i/>
      <w:iCs/>
      <w:color w:val="404040" w:themeColor="text1" w:themeTint="BF"/>
    </w:rPr>
  </w:style>
  <w:style w:type="paragraph" w:styleId="ListParagraph">
    <w:name w:val="List Paragraph"/>
    <w:basedOn w:val="Normal"/>
    <w:uiPriority w:val="34"/>
    <w:qFormat/>
    <w:rsid w:val="004B5301"/>
    <w:pPr>
      <w:ind w:left="720"/>
      <w:contextualSpacing/>
    </w:pPr>
  </w:style>
  <w:style w:type="character" w:styleId="IntenseEmphasis">
    <w:name w:val="Intense Emphasis"/>
    <w:basedOn w:val="DefaultParagraphFont"/>
    <w:uiPriority w:val="21"/>
    <w:qFormat/>
    <w:rsid w:val="004B5301"/>
    <w:rPr>
      <w:i/>
      <w:iCs/>
      <w:color w:val="2F5496" w:themeColor="accent1" w:themeShade="BF"/>
    </w:rPr>
  </w:style>
  <w:style w:type="paragraph" w:styleId="IntenseQuote">
    <w:name w:val="Intense Quote"/>
    <w:basedOn w:val="Normal"/>
    <w:next w:val="Normal"/>
    <w:link w:val="IntenseQuoteChar"/>
    <w:uiPriority w:val="30"/>
    <w:qFormat/>
    <w:rsid w:val="004B5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01"/>
    <w:rPr>
      <w:i/>
      <w:iCs/>
      <w:color w:val="2F5496" w:themeColor="accent1" w:themeShade="BF"/>
    </w:rPr>
  </w:style>
  <w:style w:type="character" w:styleId="IntenseReference">
    <w:name w:val="Intense Reference"/>
    <w:basedOn w:val="DefaultParagraphFont"/>
    <w:uiPriority w:val="32"/>
    <w:qFormat/>
    <w:rsid w:val="004B5301"/>
    <w:rPr>
      <w:b/>
      <w:bCs/>
      <w:smallCaps/>
      <w:color w:val="2F5496" w:themeColor="accent1" w:themeShade="BF"/>
      <w:spacing w:val="5"/>
    </w:rPr>
  </w:style>
  <w:style w:type="table" w:styleId="TableGrid">
    <w:name w:val="Table Grid"/>
    <w:basedOn w:val="TableNormal"/>
    <w:uiPriority w:val="39"/>
    <w:rsid w:val="004B5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Kannadassan D</dc:creator>
  <cp:keywords/>
  <dc:description/>
  <cp:lastModifiedBy>Kannadassan D</cp:lastModifiedBy>
  <cp:revision>12</cp:revision>
  <dcterms:created xsi:type="dcterms:W3CDTF">2026-08-18T10:15:00Z</dcterms:created>
  <dcterms:modified xsi:type="dcterms:W3CDTF">2026-08-18T10:31:00Z</dcterms:modified>
</cp:coreProperties>
</file>