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right"/>
      </w:pPr>
      <w:r>
        <w:rPr>
          <w:rFonts w:ascii="Rubik" w:cs="Rubik" w:eastAsia="Rubik" w:hAnsi="Rubik"/>
          <w:b/>
          <w:bCs/>
          <w:color w:val="1A2744"/>
          <w:sz w:val="48"/>
          <w:szCs w:val="48"/>
        </w:rPr>
        <w:t xml:space="preserve">תזכיר</w:t>
      </w:r>
      <w:r>
        <w:rPr>
          <w:rFonts w:ascii="Montserrat" w:cs="Montserrat" w:eastAsia="Montserrat" w:hAnsi="Montserrat"/>
          <w:b/>
          <w:bCs/>
          <w:color w:val="1A2744"/>
          <w:sz w:val="48"/>
          <w:szCs w:val="48"/>
        </w:rPr>
        <w:t xml:space="preserve"> / MEMO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b/>
                <w:bCs/>
                <w:color w:val="1A2744"/>
                <w:sz w:val="20"/>
                <w:szCs w:val="20"/>
              </w:rPr>
              <w:t xml:space="preserve">אל</w:t>
            </w:r>
            <w:r>
              <w:rPr>
                <w:rFonts w:ascii="Montserrat" w:cs="Montserrat" w:eastAsia="Montserrat" w:hAnsi="Montserrat"/>
                <w:color w:val="1A2744"/>
                <w:sz w:val="18"/>
                <w:szCs w:val="18"/>
              </w:rPr>
              <w:t xml:space="preserve"> / To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color w:val="333333"/>
                <w:sz w:val="20"/>
                <w:szCs w:val="20"/>
              </w:rPr>
              <w:t xml:space="preserve">אלון בטלר, נשיא קבוצת פספורטכארד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b/>
                <w:bCs/>
                <w:color w:val="1A2744"/>
                <w:sz w:val="20"/>
                <w:szCs w:val="20"/>
              </w:rPr>
              <w:t xml:space="preserve">מאת</w:t>
            </w:r>
            <w:r>
              <w:rPr>
                <w:rFonts w:ascii="Montserrat" w:cs="Montserrat" w:eastAsia="Montserrat" w:hAnsi="Montserrat"/>
                <w:color w:val="1A2744"/>
                <w:sz w:val="18"/>
                <w:szCs w:val="18"/>
              </w:rPr>
              <w:t xml:space="preserve"> / From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color w:val="333333"/>
                <w:sz w:val="20"/>
                <w:szCs w:val="20"/>
              </w:rPr>
              <w:t xml:space="preserve">בן עקיבא, מנהל מוצר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b/>
                <w:bCs/>
                <w:color w:val="1A2744"/>
                <w:sz w:val="20"/>
                <w:szCs w:val="20"/>
              </w:rPr>
              <w:t xml:space="preserve">תאריך</w:t>
            </w:r>
            <w:r>
              <w:rPr>
                <w:rFonts w:ascii="Montserrat" w:cs="Montserrat" w:eastAsia="Montserrat" w:hAnsi="Montserrat"/>
                <w:color w:val="1A2744"/>
                <w:sz w:val="18"/>
                <w:szCs w:val="18"/>
              </w:rPr>
              <w:t xml:space="preserve"> / Date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color w:val="333333"/>
                <w:sz w:val="20"/>
                <w:szCs w:val="20"/>
              </w:rPr>
              <w:t xml:space="preserve">17 March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b/>
                <w:bCs/>
                <w:color w:val="1A2744"/>
                <w:sz w:val="20"/>
                <w:szCs w:val="20"/>
              </w:rPr>
              <w:t xml:space="preserve">נושא</w:t>
            </w:r>
            <w:r>
              <w:rPr>
                <w:rFonts w:ascii="Montserrat" w:cs="Montserrat" w:eastAsia="Montserrat" w:hAnsi="Montserrat"/>
                <w:color w:val="1A2744"/>
                <w:sz w:val="18"/>
                <w:szCs w:val="18"/>
              </w:rPr>
              <w:t xml:space="preserve"> / Subject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color w:val="333333"/>
                <w:sz w:val="20"/>
                <w:szCs w:val="20"/>
              </w:rPr>
              <w:t xml:space="preserve">המלצה לאימוץ Claude כפלטפורמת AI ראשית לצוות התפעול</w:t>
            </w:r>
          </w:p>
        </w:tc>
      </w:tr>
    </w:tbl>
    <w:p>
      <w:pPr>
        <w:pBdr>
          <w:bottom w:val="single" w:color="E10514" w:sz="6" w:space="1"/>
        </w:pBdr>
        <w:spacing w:after="300" w:before="200"/>
      </w:pPr>
    </w:p>
    <w:p>
      <w:pPr>
        <w:spacing w:after="80" w:before="200"/>
        <w:jc w:val="right"/>
      </w:pPr>
      <w:r>
        <w:rPr>
          <w:rFonts w:ascii="Rubik" w:cs="Rubik" w:eastAsia="Rubik" w:hAnsi="Rubik"/>
          <w:b/>
          <w:bCs/>
          <w:color w:val="1A2744"/>
          <w:sz w:val="32"/>
          <w:szCs w:val="32"/>
        </w:rPr>
        <w:t xml:space="preserve">שורה תחתונה</w:t>
      </w:r>
      <w:r>
        <w:rPr>
          <w:rFonts w:ascii="Montserrat" w:cs="Montserrat" w:eastAsia="Montserrat" w:hAnsi="Montserrat"/>
          <w:b/>
          <w:bCs/>
          <w:color w:val="1A2744"/>
          <w:sz w:val="26"/>
          <w:szCs w:val="26"/>
        </w:rPr>
        <w:t xml:space="preserve">  / Bottom Line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single" w:color="E10514" w:sz="18"/>
            </w:tcBorders>
            <w:shd w:fill="F5F0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276"/>
              <w:jc w:val="right"/>
            </w:pPr>
            <w:r>
              <w:rPr>
                <w:rFonts w:ascii="Rubik" w:cs="Rubik" w:eastAsia="Rubik" w:hAnsi="Rubik"/>
                <w:sz w:val="22"/>
                <w:szCs w:val="22"/>
              </w:rPr>
              <w:t xml:space="preserve">מומלץ לאמץ את </w:t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Claude (Anthropic)</w:t>
            </w:r>
            <w:r>
              <w:rPr>
                <w:rFonts w:ascii="Rubik" w:cs="Rubik" w:eastAsia="Rubik" w:hAnsi="Rubik"/>
                <w:sz w:val="22"/>
                <w:szCs w:val="22"/>
              </w:rPr>
              <w:t xml:space="preserve"> כפלטפורמת הבינה המלאכותית הראשית עבור צוות התפעול של פספורטכארד. הפלטפורמה מציעה יכולות ייחודיות בעיבוד מסמכים רגולטוריים, ניתוח תביעות מורכבות, ותמיכה מלאה בעברית — עם רמת אבטחת מידע העומדת בדרישות 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SOC 2 Type II</w:t>
            </w:r>
            <w:r>
              <w:rPr>
                <w:rFonts w:ascii="Rubik" w:cs="Rubik" w:eastAsia="Rubik" w:hAnsi="Rubik"/>
                <w:sz w:val="22"/>
                <w:szCs w:val="22"/>
              </w:rPr>
              <w:t xml:space="preserve">.</w:t>
            </w:r>
          </w:p>
        </w:tc>
      </w:tr>
    </w:tbl>
    <w:p>
      <w:pPr>
        <w:spacing w:after="120" w:before="360"/>
        <w:jc w:val="right"/>
      </w:pPr>
      <w:r>
        <w:rPr>
          <w:rFonts w:ascii="Rubik" w:cs="Rubik" w:eastAsia="Rubik" w:hAnsi="Rubik"/>
          <w:b/>
          <w:bCs/>
          <w:color w:val="1A2744"/>
          <w:sz w:val="32"/>
          <w:szCs w:val="32"/>
        </w:rPr>
        <w:t xml:space="preserve">הקשר</w:t>
      </w:r>
      <w:r>
        <w:rPr>
          <w:rFonts w:ascii="Montserrat" w:cs="Montserrat" w:eastAsia="Montserrat" w:hAnsi="Montserrat"/>
          <w:b/>
          <w:bCs/>
          <w:color w:val="1A2744"/>
          <w:sz w:val="26"/>
          <w:szCs w:val="26"/>
        </w:rPr>
        <w:t xml:space="preserve">  / Context</w:t>
      </w:r>
    </w:p>
    <w:p>
      <w:pPr>
        <w:spacing w:after="12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צוות התפעול מטפל מדי חודש במאות תביעות מורכבות הדורשות הצלבת מידע ממספר מקורות: פוליסות, מסמכים רפואיים, דרישות רגולטוריות מקומיות, וקווי מדיניות פנימיים. התהליך הנוכחי ידני ברובו, דורש ממוצע של 47 דקות לתביעה, ומוביל לשיעור שגיאות של כ-12%.</w:t>
      </w:r>
    </w:p>
    <w:p>
      <w:pPr>
        <w:spacing w:after="12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במקביל, הרגולציה האירופית (</w:t>
      </w:r>
      <w:r>
        <w:rPr>
          <w:rFonts w:ascii="Montserrat" w:cs="Montserrat" w:eastAsia="Montserrat" w:hAnsi="Montserrat"/>
          <w:sz w:val="22"/>
          <w:szCs w:val="22"/>
        </w:rPr>
        <w:t xml:space="preserve">EIOPA</w:t>
      </w:r>
      <w:r>
        <w:rPr>
          <w:rFonts w:ascii="Rubik" w:cs="Rubik" w:eastAsia="Rubik" w:hAnsi="Rubik"/>
          <w:sz w:val="22"/>
          <w:szCs w:val="22"/>
        </w:rPr>
        <w:t xml:space="preserve">) והמפקח על הביטוח בישראל מעודדים אימוץ טכנולוגיות </w:t>
      </w:r>
      <w:r>
        <w:rPr>
          <w:rFonts w:ascii="Montserrat" w:cs="Montserrat" w:eastAsia="Montserrat" w:hAnsi="Montserrat"/>
          <w:sz w:val="22"/>
          <w:szCs w:val="22"/>
        </w:rPr>
        <w:t xml:space="preserve">AI</w:t>
      </w:r>
      <w:r>
        <w:rPr>
          <w:rFonts w:ascii="Rubik" w:cs="Rubik" w:eastAsia="Rubik" w:hAnsi="Rubik"/>
          <w:sz w:val="22"/>
          <w:szCs w:val="22"/>
        </w:rPr>
        <w:t xml:space="preserve"> בתהליכי חיתום ותביעות, בכפוף לדרישות שקיפות ואחריותיות.</w:t>
      </w:r>
    </w:p>
    <w:p>
      <w:pPr>
        <w:spacing w:after="120" w:before="360"/>
        <w:jc w:val="right"/>
      </w:pPr>
      <w:r>
        <w:rPr>
          <w:rFonts w:ascii="Rubik" w:cs="Rubik" w:eastAsia="Rubik" w:hAnsi="Rubik"/>
          <w:b/>
          <w:bCs/>
          <w:color w:val="1A2744"/>
          <w:sz w:val="32"/>
          <w:szCs w:val="32"/>
        </w:rPr>
        <w:t xml:space="preserve">ניתוח</w:t>
      </w:r>
      <w:r>
        <w:rPr>
          <w:rFonts w:ascii="Montserrat" w:cs="Montserrat" w:eastAsia="Montserrat" w:hAnsi="Montserrat"/>
          <w:b/>
          <w:bCs/>
          <w:color w:val="1A2744"/>
          <w:sz w:val="26"/>
          <w:szCs w:val="26"/>
        </w:rPr>
        <w:t xml:space="preserve">  / Analysis</w:t>
      </w:r>
    </w:p>
    <w:p>
      <w:pPr>
        <w:spacing w:after="20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הערכנו שלוש פלטפורמות מובילות על פני חמישה קריטריונים מרכזיים: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FFFFFF"/>
                <w:sz w:val="20"/>
                <w:szCs w:val="20"/>
              </w:rPr>
              <w:t xml:space="preserve">קריטריון / Criterion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GPT-4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Gemini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333333"/>
                <w:sz w:val="20"/>
                <w:szCs w:val="20"/>
              </w:rPr>
              <w:t xml:space="preserve">עיבוד מסמכים / Document Processing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 w:val="false"/>
                <w:bCs w:val="false"/>
                <w:color w:val="333333"/>
                <w:sz w:val="20"/>
                <w:szCs w:val="20"/>
              </w:rPr>
              <w:t xml:space="preserve">מצוין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 w:val="false"/>
                <w:bCs w:val="false"/>
                <w:color w:val="333333"/>
                <w:sz w:val="20"/>
                <w:szCs w:val="20"/>
              </w:rPr>
              <w:t xml:space="preserve">טוב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 w:val="false"/>
                <w:bCs w:val="false"/>
                <w:color w:val="333333"/>
                <w:sz w:val="20"/>
                <w:szCs w:val="20"/>
              </w:rPr>
              <w:t xml:space="preserve">טוב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333333"/>
                <w:sz w:val="20"/>
                <w:szCs w:val="20"/>
              </w:rPr>
              <w:t xml:space="preserve">תמיכה בעברית / Hebrew Support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 w:val="false"/>
                <w:bCs w:val="false"/>
                <w:color w:val="333333"/>
                <w:sz w:val="20"/>
                <w:szCs w:val="20"/>
              </w:rPr>
              <w:t xml:space="preserve">מצוין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 w:val="false"/>
                <w:bCs w:val="false"/>
                <w:color w:val="333333"/>
                <w:sz w:val="20"/>
                <w:szCs w:val="20"/>
              </w:rPr>
              <w:t xml:space="preserve">טוב מאוד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 w:val="false"/>
                <w:bCs w:val="false"/>
                <w:color w:val="333333"/>
                <w:sz w:val="20"/>
                <w:szCs w:val="20"/>
              </w:rPr>
              <w:t xml:space="preserve">טוב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333333"/>
                <w:sz w:val="20"/>
                <w:szCs w:val="20"/>
              </w:rPr>
              <w:t xml:space="preserve">אבטחת מידע / Security (SOC 2)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 w:val="false"/>
                <w:bCs w:val="false"/>
                <w:color w:val="333333"/>
                <w:sz w:val="20"/>
                <w:szCs w:val="20"/>
              </w:rPr>
              <w:t xml:space="preserve">מצוין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 w:val="false"/>
                <w:bCs w:val="false"/>
                <w:color w:val="333333"/>
                <w:sz w:val="20"/>
                <w:szCs w:val="20"/>
              </w:rPr>
              <w:t xml:space="preserve">מצוין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 w:val="false"/>
                <w:bCs w:val="false"/>
                <w:color w:val="333333"/>
                <w:sz w:val="20"/>
                <w:szCs w:val="20"/>
              </w:rPr>
              <w:t xml:space="preserve">טוב מאוד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333333"/>
                <w:sz w:val="20"/>
                <w:szCs w:val="20"/>
              </w:rPr>
              <w:t xml:space="preserve">יחס עלות-תועלת / Cost Efficiency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 w:val="false"/>
                <w:bCs w:val="false"/>
                <w:color w:val="333333"/>
                <w:sz w:val="20"/>
                <w:szCs w:val="20"/>
              </w:rPr>
              <w:t xml:space="preserve">מצוין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 w:val="false"/>
                <w:bCs w:val="false"/>
                <w:color w:val="333333"/>
                <w:sz w:val="20"/>
                <w:szCs w:val="20"/>
              </w:rPr>
              <w:t xml:space="preserve">טוב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 w:val="false"/>
                <w:bCs w:val="false"/>
                <w:color w:val="333333"/>
                <w:sz w:val="20"/>
                <w:szCs w:val="20"/>
              </w:rPr>
              <w:t xml:space="preserve">טוב מאוד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/>
                <w:bCs/>
                <w:color w:val="333333"/>
                <w:sz w:val="20"/>
                <w:szCs w:val="20"/>
              </w:rPr>
              <w:t xml:space="preserve">יכולת אינטגרציה / API Integration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 w:val="false"/>
                <w:bCs w:val="false"/>
                <w:color w:val="333333"/>
                <w:sz w:val="20"/>
                <w:szCs w:val="20"/>
              </w:rPr>
              <w:t xml:space="preserve">מצוין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 w:val="false"/>
                <w:bCs w:val="false"/>
                <w:color w:val="333333"/>
                <w:sz w:val="20"/>
                <w:szCs w:val="20"/>
              </w:rPr>
              <w:t xml:space="preserve">מצוין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Rubik" w:cs="Rubik" w:eastAsia="Rubik" w:hAnsi="Rubik"/>
                <w:b w:val="false"/>
                <w:bCs w:val="false"/>
                <w:color w:val="333333"/>
                <w:sz w:val="20"/>
                <w:szCs w:val="20"/>
              </w:rPr>
              <w:t xml:space="preserve">טוב מאוד</w:t>
            </w:r>
          </w:p>
        </w:tc>
      </w:tr>
    </w:tbl>
    <w:p>
      <w:pPr>
        <w:spacing w:after="120" w:before="360"/>
        <w:jc w:val="right"/>
      </w:pPr>
      <w:r>
        <w:rPr>
          <w:rFonts w:ascii="Rubik" w:cs="Rubik" w:eastAsia="Rubik" w:hAnsi="Rubik"/>
          <w:b/>
          <w:bCs/>
          <w:color w:val="1A2744"/>
          <w:sz w:val="32"/>
          <w:szCs w:val="32"/>
        </w:rPr>
        <w:t xml:space="preserve">סיכונים ושיקולים</w:t>
      </w:r>
      <w:r>
        <w:rPr>
          <w:rFonts w:ascii="Montserrat" w:cs="Montserrat" w:eastAsia="Montserrat" w:hAnsi="Montserrat"/>
          <w:b/>
          <w:bCs/>
          <w:color w:val="1A2744"/>
          <w:sz w:val="26"/>
          <w:szCs w:val="26"/>
        </w:rPr>
        <w:t xml:space="preserve">  / Risks &amp; Considerations</w:t>
      </w:r>
    </w:p>
    <w:p>
      <w:pPr>
        <w:pStyle w:val="ListParagraph"/>
        <w:numPr>
          <w:ilvl w:val="0"/>
          <w:numId w:val="2"/>
        </w:numPr>
        <w:spacing w:after="8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תלות בספק יחיד (Vendor Lock-in): ניתן לצמצם באמצעות ארכיטקטורת abstraction layer שתאפשר החלפת מודל בעתיד.</w:t>
      </w:r>
    </w:p>
    <w:p>
      <w:pPr>
        <w:pStyle w:val="ListParagraph"/>
        <w:numPr>
          <w:ilvl w:val="0"/>
          <w:numId w:val="2"/>
        </w:numPr>
        <w:spacing w:after="8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רגולציה משתנה: יש לעקוב אחר עדכוני EIOPA ורשות שוק ההון בנוגע לשימוש ב-AI בתהליכי תביעות.</w:t>
      </w:r>
    </w:p>
    <w:p>
      <w:pPr>
        <w:pStyle w:val="ListParagraph"/>
        <w:numPr>
          <w:ilvl w:val="0"/>
          <w:numId w:val="2"/>
        </w:numPr>
        <w:spacing w:after="80" w:line="276"/>
        <w:jc w:val="right"/>
      </w:pPr>
      <w:r>
        <w:rPr>
          <w:rFonts w:ascii="Rubik" w:cs="Rubik" w:eastAsia="Rubik" w:hAnsi="Rubik"/>
          <w:sz w:val="22"/>
          <w:szCs w:val="22"/>
        </w:rPr>
        <w:t xml:space="preserve">עקומת למידה: נדרשת הכשרה של 2-3 שבועות לצוות התפעול. מומלץ תוכנית Champion מובנית.</w:t>
      </w:r>
    </w:p>
    <w:p>
      <w:pPr>
        <w:spacing w:after="120" w:before="360"/>
        <w:jc w:val="right"/>
      </w:pPr>
      <w:r>
        <w:rPr>
          <w:rFonts w:ascii="Rubik" w:cs="Rubik" w:eastAsia="Rubik" w:hAnsi="Rubik"/>
          <w:b/>
          <w:bCs/>
          <w:color w:val="1A2744"/>
          <w:sz w:val="32"/>
          <w:szCs w:val="32"/>
        </w:rPr>
        <w:t xml:space="preserve">צעדים מומלצים</w:t>
      </w:r>
      <w:r>
        <w:rPr>
          <w:rFonts w:ascii="Montserrat" w:cs="Montserrat" w:eastAsia="Montserrat" w:hAnsi="Montserrat"/>
          <w:b/>
          <w:bCs/>
          <w:color w:val="1A2744"/>
          <w:sz w:val="26"/>
          <w:szCs w:val="26"/>
        </w:rPr>
        <w:t xml:space="preserve">  / Recommended Next Steps</w:t>
      </w:r>
    </w:p>
    <w:p>
      <w:pPr>
        <w:pStyle w:val="ListParagraph"/>
        <w:numPr>
          <w:ilvl w:val="0"/>
          <w:numId w:val="3"/>
        </w:numPr>
        <w:spacing w:after="40" w:line="276"/>
        <w:jc w:val="right"/>
      </w:pPr>
      <w:r>
        <w:rPr>
          <w:rFonts w:ascii="Rubik" w:cs="Rubik" w:eastAsia="Rubik" w:hAnsi="Rubik"/>
          <w:b/>
          <w:bCs/>
          <w:sz w:val="22"/>
          <w:szCs w:val="22"/>
        </w:rPr>
        <w:t xml:space="preserve">אישור תקציב PoC — בן עקיבא — עד 31 March 2026</w:t>
      </w:r>
    </w:p>
    <w:p>
      <w:pPr>
        <w:pStyle w:val="ListParagraph"/>
        <w:numPr>
          <w:ilvl w:val="0"/>
          <w:numId w:val="3"/>
        </w:numPr>
        <w:spacing w:after="40" w:line="276"/>
        <w:jc w:val="right"/>
      </w:pPr>
      <w:r>
        <w:rPr>
          <w:rFonts w:ascii="Rubik" w:cs="Rubik" w:eastAsia="Rubik" w:hAnsi="Rubik"/>
          <w:b/>
          <w:bCs/>
          <w:sz w:val="22"/>
          <w:szCs w:val="22"/>
        </w:rPr>
        <w:t xml:space="preserve">הקמת צוות פיילוט (5 אנשי תפעול) — דנה כהן — עד 7 April 2026</w:t>
      </w:r>
    </w:p>
    <w:p>
      <w:pPr>
        <w:pStyle w:val="ListParagraph"/>
        <w:numPr>
          <w:ilvl w:val="0"/>
          <w:numId w:val="3"/>
        </w:numPr>
        <w:spacing w:after="40" w:line="276"/>
        <w:jc w:val="right"/>
      </w:pPr>
      <w:r>
        <w:rPr>
          <w:rFonts w:ascii="Rubik" w:cs="Rubik" w:eastAsia="Rubik" w:hAnsi="Rubik"/>
          <w:b/>
          <w:bCs/>
          <w:sz w:val="22"/>
          <w:szCs w:val="22"/>
        </w:rPr>
        <w:t xml:space="preserve">הגדרת KPIs ומדדי הצלחה — בן עקיבא — עד 14 April 2026</w:t>
      </w:r>
    </w:p>
    <w:p>
      <w:pPr>
        <w:pStyle w:val="ListParagraph"/>
        <w:numPr>
          <w:ilvl w:val="0"/>
          <w:numId w:val="3"/>
        </w:numPr>
        <w:spacing w:after="40" w:line="276"/>
        <w:jc w:val="right"/>
      </w:pPr>
      <w:r>
        <w:rPr>
          <w:rFonts w:ascii="Rubik" w:cs="Rubik" w:eastAsia="Rubik" w:hAnsi="Rubik"/>
          <w:b/>
          <w:bCs/>
          <w:sz w:val="22"/>
          <w:szCs w:val="22"/>
        </w:rPr>
        <w:t xml:space="preserve">סקירת ביניים לאלון — בן עקיבא — 15 May 2026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88888"/>
        <w:sz w:val="16"/>
        <w:szCs w:val="16"/>
      </w:rPr>
      <w:t xml:space="preserve">PassportCard | </w:t>
    </w:r>
    <w:r>
      <w:rPr>
        <w:rFonts w:ascii="Rubik" w:cs="Rubik" w:eastAsia="Rubik" w:hAnsi="Rubik"/>
        <w:color w:val="888888"/>
        <w:sz w:val="16"/>
        <w:szCs w:val="16"/>
      </w:rPr>
      <w:t xml:space="preserve">סודי</w:t>
    </w:r>
    <w:r>
      <w:rPr>
        <w:rFonts w:ascii="Montserrat" w:cs="Montserrat" w:eastAsia="Montserrat" w:hAnsi="Montserrat"/>
        <w:color w:val="888888"/>
        <w:sz w:val="16"/>
        <w:szCs w:val="16"/>
      </w:rPr>
      <w:t xml:space="preserve"> - Confidential</w:t>
    </w:r>
    <w:r>
      <w:rPr>
        <w:rFonts w:ascii="Montserrat" w:cs="Montserrat" w:eastAsia="Montserrat" w:hAnsi="Montserrat"/>
        <w:color w:val="888888"/>
        <w:sz w:val="16"/>
        <w:szCs w:val="16"/>
      </w:rPr>
      <w:t xml:space="preserve">    |    </w:t>
    </w:r>
    <w:r>
      <w:rPr>
        <w:rFonts w:ascii="Montserrat" w:cs="Montserrat" w:eastAsia="Montserrat" w:hAnsi="Montserrat"/>
        <w:color w:val="888888"/>
        <w:sz w:val="18"/>
        <w:szCs w:val="18"/>
      </w:rPr>
      <w:t xml:space="preserve">Page </w:t>
    </w:r>
    <w:r>
      <w:rPr>
        <w:rFonts w:ascii="Montserrat" w:cs="Montserrat" w:eastAsia="Montserrat" w:hAnsi="Montserrat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333500" cy="762000"/>
          <wp:effectExtent t="0" r="0" b="0" l="0"/>
          <wp:docPr id="1" name="logo" descr="PassportCard Logo" title="PassportCar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Montserrat" w:cs="Montserrat" w:eastAsia="Montserrat" w:hAnsi="Montserrat"/>
        <w:color w:val="1A2744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ubik" w:cs="Rubik" w:eastAsia="Rubik" w:hAnsi="Rubik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Rubik" w:cs="Rubik" w:eastAsia="Rubik" w:hAnsi="Rubik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Rubik" w:cs="Rubik" w:eastAsia="Rubik" w:hAnsi="Rubik"/>
      <w:b/>
      <w:bCs/>
      <w:color w:val="1A27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a1fd329af969f9ad4c75b4f05a0a74ca69b2b9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2026-03-16T22:16:25.564Z</dcterms:created>
  <dcterms:modified xsi:type="dcterms:W3CDTF">2026-03-16T22:16:25.564Z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