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Rubik" w:cs="Rubik" w:eastAsia="Rubik" w:hAnsi="Rubik"/>
          <w:b/>
          <w:bCs/>
          <w:color w:val="1A2744"/>
          <w:sz w:val="40"/>
          <w:szCs w:val="40"/>
        </w:rPr>
        <w:t xml:space="preserve">מודרניזציה של מערכת ה-CRM</w:t>
      </w:r>
    </w:p>
    <w:p>
      <w:pPr>
        <w:spacing w:after="60"/>
        <w:jc w:val="right"/>
      </w:pPr>
      <w:r>
        <w:rPr>
          <w:rFonts w:ascii="Montserrat" w:cs="Montserrat" w:eastAsia="Montserrat" w:hAnsi="Montserrat"/>
          <w:color w:val="E10514"/>
          <w:sz w:val="24"/>
          <w:szCs w:val="24"/>
        </w:rPr>
        <w:t xml:space="preserve">CRM Modernization Initiative</w:t>
      </w:r>
    </w:p>
    <w:p>
      <w:pPr>
        <w:pBdr>
          <w:bottom w:val="single" w:color="E10514" w:sz="6" w:space="1"/>
        </w:pBdr>
        <w:spacing w:after="2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2722"/>
        <w:gridCol w:w="2721"/>
      </w:tblGrid>
      <w:tr>
        <w:tc>
          <w:tcPr>
            <w:tcW w:type="dxa" w:w="3629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E10514"/>
                <w:sz w:val="22"/>
                <w:szCs w:val="22"/>
              </w:rPr>
              <w:t xml:space="preserve">האתגר</w:t>
            </w:r>
            <w:r>
              <w:rPr>
                <w:rFonts w:ascii="Montserrat" w:cs="Montserrat" w:eastAsia="Montserrat" w:hAnsi="Montserrat"/>
                <w:color w:val="E10514"/>
                <w:sz w:val="18"/>
                <w:szCs w:val="18"/>
              </w:rPr>
              <w:t xml:space="preserve">  The Challenge</w:t>
            </w:r>
          </w:p>
        </w:tc>
        <w:tc>
          <w:tcPr>
            <w:tcW w:type="dxa" w:w="2722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E10514"/>
                <w:sz w:val="22"/>
                <w:szCs w:val="22"/>
              </w:rPr>
              <w:t xml:space="preserve">הגישה</w:t>
            </w:r>
            <w:r>
              <w:rPr>
                <w:rFonts w:ascii="Montserrat" w:cs="Montserrat" w:eastAsia="Montserrat" w:hAnsi="Montserrat"/>
                <w:color w:val="E10514"/>
                <w:sz w:val="18"/>
                <w:szCs w:val="18"/>
              </w:rPr>
              <w:t xml:space="preserve">  The Approach</w:t>
            </w:r>
          </w:p>
        </w:tc>
        <w:tc>
          <w:tcPr>
            <w:tcW w:type="dxa" w:w="2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E10514"/>
                <w:sz w:val="22"/>
                <w:szCs w:val="22"/>
              </w:rPr>
              <w:t xml:space="preserve">השפעה צפויה</w:t>
            </w:r>
            <w:r>
              <w:rPr>
                <w:rFonts w:ascii="Montserrat" w:cs="Montserrat" w:eastAsia="Montserrat" w:hAnsi="Montserrat"/>
                <w:color w:val="E10514"/>
                <w:sz w:val="18"/>
                <w:szCs w:val="18"/>
              </w:rPr>
              <w:t xml:space="preserve">  Expected Impact</w:t>
            </w:r>
          </w:p>
        </w:tc>
      </w:tr>
      <w:tr>
        <w:tc>
          <w:tcPr>
            <w:tcW w:type="dxa" w:w="3629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120"/>
              <w:right w:type="dxa" w:w="120"/>
            </w:tcMar>
          </w:tcPr>
          <w:p>
            <w:pPr>
              <w:spacing w:after="100" w:line="264"/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מערכת ה-CRM הנוכחית הוטמעה לפני שמונה שנים ואינה תומכת בתהליכים דיגיטליים מודרניים. זמן ממוצע לפתיחת תיק לקוח חדש עומד על 23 דקות — פי שלושה מהממוצע בתעשייה.</w:t>
            </w:r>
          </w:p>
          <w:p>
            <w:pPr>
              <w:spacing w:after="100" w:line="264"/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שילוב נתונים בין מערכת התביעות למערכת ה-CRM דורש עבודה ידנית, מה שמוביל לטעויות ולעיכובים בשירות הלקוח.</w:t>
            </w:r>
          </w:p>
          <w:p>
            <w:pPr>
              <w:spacing w:line="264"/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שביעות הרצון של סוכנים מהכלי ירדה ל-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54%</w:t>
            </w:r>
            <w:r>
              <w:rPr>
                <w:rFonts w:ascii="Rubik" w:cs="Rubik" w:eastAsia="Rubik" w:hAnsi="Rubik"/>
                <w:sz w:val="20"/>
                <w:szCs w:val="20"/>
              </w:rPr>
              <w:t xml:space="preserve"> בסקר האחרון.</w:t>
            </w:r>
          </w:p>
        </w:tc>
        <w:tc>
          <w:tcPr>
            <w:tcW w:type="dxa" w:w="2722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120"/>
              <w:right w:type="dxa" w:w="120"/>
            </w:tcMar>
          </w:tcPr>
          <w:p>
            <w:pPr>
              <w:spacing w:after="100" w:line="264"/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מעבר לפלטפורמת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CRM</w:t>
            </w:r>
            <w:r>
              <w:rPr>
                <w:rFonts w:ascii="Rubik" w:cs="Rubik" w:eastAsia="Rubik" w:hAnsi="Rubik"/>
                <w:sz w:val="20"/>
                <w:szCs w:val="20"/>
              </w:rPr>
              <w:t xml:space="preserve"> מודולרית מבוססת ענן עם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API-first architecture</w:t>
            </w:r>
            <w:r>
              <w:rPr>
                <w:rFonts w:ascii="Rubik" w:cs="Rubik" w:eastAsia="Rubik" w:hAnsi="Rubik"/>
                <w:sz w:val="20"/>
                <w:szCs w:val="20"/>
              </w:rPr>
              <w:t xml:space="preserve">.</w:t>
            </w:r>
          </w:p>
          <w:p>
            <w:pPr>
              <w:spacing w:after="100" w:line="264"/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הטמעה בשלושה שלבים: סוכנים, תביעות, חיתום — עם שמירה על המשכיות עסקית לאורך כל התהליך.</w:t>
            </w:r>
          </w:p>
          <w:p>
            <w:pPr>
              <w:spacing w:line="264"/>
              <w:jc w:val="right"/>
            </w:pPr>
            <w:r>
              <w:rPr>
                <w:rFonts w:ascii="Rubik" w:cs="Rubik" w:eastAsia="Rubik" w:hAnsi="Rubik"/>
                <w:sz w:val="20"/>
                <w:szCs w:val="20"/>
              </w:rPr>
              <w:t xml:space="preserve">שילוב יכולות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AI</w:t>
            </w:r>
            <w:r>
              <w:rPr>
                <w:rFonts w:ascii="Rubik" w:cs="Rubik" w:eastAsia="Rubik" w:hAnsi="Rubik"/>
                <w:sz w:val="20"/>
                <w:szCs w:val="20"/>
              </w:rPr>
              <w:t xml:space="preserve"> לאוטומציה של תהליכים חוזרים והפקת תובנות בזמן אמת.</w:t>
            </w:r>
          </w:p>
        </w:tc>
        <w:tc>
          <w:tcPr>
            <w:tcW w:type="dxa" w:w="2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A2744"/>
                <w:sz w:val="48"/>
                <w:szCs w:val="48"/>
              </w:rPr>
              <w:t xml:space="preserve">-65%</w:t>
            </w:r>
          </w:p>
          <w:p>
            <w:pPr>
              <w:spacing w:after="160"/>
              <w:jc w:val="center"/>
            </w:pPr>
            <w:r>
              <w:rPr>
                <w:rFonts w:ascii="Rubik" w:cs="Rubik" w:eastAsia="Rubik" w:hAnsi="Rubik"/>
                <w:color w:val="666666"/>
                <w:sz w:val="18"/>
                <w:szCs w:val="18"/>
              </w:rPr>
              <w:t xml:space="preserve">זמן פתיחת תיק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A2744"/>
                <w:sz w:val="48"/>
                <w:szCs w:val="48"/>
              </w:rPr>
              <w:t xml:space="preserve">+40%</w:t>
            </w:r>
          </w:p>
          <w:p>
            <w:pPr>
              <w:spacing w:after="160"/>
              <w:jc w:val="center"/>
            </w:pPr>
            <w:r>
              <w:rPr>
                <w:rFonts w:ascii="Rubik" w:cs="Rubik" w:eastAsia="Rubik" w:hAnsi="Rubik"/>
                <w:color w:val="666666"/>
                <w:sz w:val="18"/>
                <w:szCs w:val="18"/>
              </w:rPr>
              <w:t xml:space="preserve">שביעות רצון סוכנים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A2744"/>
                <w:sz w:val="48"/>
                <w:szCs w:val="48"/>
              </w:rPr>
              <w:t xml:space="preserve">$2.1M</w:t>
            </w:r>
          </w:p>
          <w:p>
            <w:pPr>
              <w:spacing w:after="0"/>
              <w:jc w:val="center"/>
            </w:pPr>
            <w:r>
              <w:rPr>
                <w:rFonts w:ascii="Rubik" w:cs="Rubik" w:eastAsia="Rubik" w:hAnsi="Rubik"/>
                <w:color w:val="666666"/>
                <w:sz w:val="18"/>
                <w:szCs w:val="18"/>
              </w:rPr>
              <w:t xml:space="preserve">חיסכון שנתי צפוי</w:t>
            </w:r>
          </w:p>
        </w:tc>
      </w:tr>
    </w:tbl>
    <w:p>
      <w:pPr>
        <w:spacing w:after="120" w:before="2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Rubik" w:cs="Rubik" w:eastAsia="Rubik" w:hAnsi="Rubik"/>
                <w:b/>
                <w:bCs/>
                <w:color w:val="FFFFFF"/>
                <w:sz w:val="22"/>
                <w:szCs w:val="22"/>
              </w:rPr>
              <w:t xml:space="preserve">לוח זמנים</w:t>
            </w:r>
            <w:r>
              <w:rPr>
                <w:rFonts w:ascii="Montserrat" w:cs="Montserrat" w:eastAsia="Montserrat" w:hAnsi="Montserrat"/>
                <w:color w:val="F5F0EB"/>
                <w:sz w:val="20"/>
                <w:szCs w:val="20"/>
              </w:rPr>
              <w:t xml:space="preserve">  /  Timeline</w:t>
            </w:r>
          </w:p>
        </w:tc>
      </w:tr>
      <w:tr>
        <w:tc>
          <w:tcPr>
            <w:tcW w:type="dxa" w:w="2268"/>
            <w:tcBorders>
              <w:top w:val="none" w:color="FFFFFF" w:sz="0"/>
              <w:left w:val="single" w:color="3A4764" w:sz="1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Q2 2026</w:t>
            </w:r>
          </w:p>
          <w:p>
            <w:pPr>
              <w:jc w:val="center"/>
            </w:pPr>
            <w:r>
              <w:rPr>
                <w:rFonts w:ascii="Rubik" w:cs="Rubik" w:eastAsia="Rubik" w:hAnsi="Rubik"/>
                <w:color w:val="F5F0EB"/>
                <w:sz w:val="18"/>
                <w:szCs w:val="18"/>
              </w:rPr>
              <w:t xml:space="preserve">אפיון ובחירת ספק</w:t>
            </w:r>
          </w:p>
        </w:tc>
        <w:tc>
          <w:tcPr>
            <w:tcW w:type="dxa" w:w="2268"/>
            <w:tcBorders>
              <w:top w:val="none" w:color="FFFFFF" w:sz="0"/>
              <w:left w:val="single" w:color="3A4764" w:sz="1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Q3 2026</w:t>
            </w:r>
          </w:p>
          <w:p>
            <w:pPr>
              <w:jc w:val="center"/>
            </w:pPr>
            <w:r>
              <w:rPr>
                <w:rFonts w:ascii="Rubik" w:cs="Rubik" w:eastAsia="Rubik" w:hAnsi="Rubik"/>
                <w:color w:val="F5F0EB"/>
                <w:sz w:val="18"/>
                <w:szCs w:val="18"/>
              </w:rPr>
              <w:t xml:space="preserve">פיילוט — מודול סוכנים</w:t>
            </w:r>
          </w:p>
        </w:tc>
        <w:tc>
          <w:tcPr>
            <w:tcW w:type="dxa" w:w="2268"/>
            <w:tcBorders>
              <w:top w:val="none" w:color="FFFFFF" w:sz="0"/>
              <w:left w:val="single" w:color="3A4764" w:sz="1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Q4 2026</w:t>
            </w:r>
          </w:p>
          <w:p>
            <w:pPr>
              <w:jc w:val="center"/>
            </w:pPr>
            <w:r>
              <w:rPr>
                <w:rFonts w:ascii="Rubik" w:cs="Rubik" w:eastAsia="Rubik" w:hAnsi="Rubik"/>
                <w:color w:val="F5F0EB"/>
                <w:sz w:val="18"/>
                <w:szCs w:val="18"/>
              </w:rPr>
              <w:t xml:space="preserve">הטמעה — תביעות וחיתום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Q1 2027</w:t>
            </w:r>
          </w:p>
          <w:p>
            <w:pPr>
              <w:jc w:val="center"/>
            </w:pPr>
            <w:r>
              <w:rPr>
                <w:rFonts w:ascii="Rubik" w:cs="Rubik" w:eastAsia="Rubik" w:hAnsi="Rubik"/>
                <w:color w:val="F5F0EB"/>
                <w:sz w:val="18"/>
                <w:szCs w:val="18"/>
              </w:rPr>
              <w:t xml:space="preserve">השקה מלאה ואופטימיזציה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88888"/>
        <w:sz w:val="16"/>
        <w:szCs w:val="16"/>
      </w:rPr>
      <w:t xml:space="preserve">PassportCard | </w:t>
    </w:r>
    <w:r>
      <w:rPr>
        <w:rFonts w:ascii="Rubik" w:cs="Rubik" w:eastAsia="Rubik" w:hAnsi="Rubik"/>
        <w:color w:val="888888"/>
        <w:sz w:val="16"/>
        <w:szCs w:val="16"/>
      </w:rPr>
      <w:t xml:space="preserve">סודי</w:t>
    </w:r>
    <w:r>
      <w:rPr>
        <w:rFonts w:ascii="Montserrat" w:cs="Montserrat" w:eastAsia="Montserrat" w:hAnsi="Montserrat"/>
        <w:color w:val="888888"/>
        <w:sz w:val="16"/>
        <w:szCs w:val="16"/>
      </w:rPr>
      <w:t xml:space="preserve"> -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143000" cy="647700"/>
          <wp:effectExtent t="0" r="0" b="0" l="0"/>
          <wp:docPr id="1" name="logo" descr="PassportCard Logo" title="PassportCar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ubik" w:cs="Rubik" w:eastAsia="Rubik" w:hAnsi="Rubik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a1fd329af969f9ad4c75b4f05a0a74ca69b2b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2026-03-16T22:17:53.342Z</dcterms:created>
  <dcterms:modified xsi:type="dcterms:W3CDTF">2026-03-16T22:17:53.342Z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