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6735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00"/>
              <w:left w:type="dxa" w:w="1417"/>
              <w:bottom w:type="dxa" w:w="400"/>
              <w:right w:type="dxa" w:w="1417"/>
            </w:tcMar>
            <w:vAlign w:val="top"/>
          </w:tcPr>
          <w:p>
            <w:pPr>
              <w:spacing w:after="300"/>
              <w:jc w:val="right"/>
            </w:pPr>
          </w:p>
          <w:p>
            <w:pPr>
              <w:spacing w:after="200"/>
              <w:jc w:val="right"/>
            </w:pPr>
            <w:r>
              <w:rPr>
                <w:rFonts w:ascii="Rubik" w:cs="Rubik" w:eastAsia="Rubik" w:hAnsi="Rubik"/>
                <w:b/>
                <w:bCs/>
                <w:color w:val="FFFFFF"/>
                <w:sz w:val="56"/>
                <w:szCs w:val="56"/>
              </w:rPr>
              <w:t xml:space="preserve">אימוץ בינה מלאכותית בביטוח האירופי</w:t>
            </w:r>
          </w:p>
          <w:p>
            <w:pPr>
              <w:spacing w:after="300"/>
              <w:jc w:val="right"/>
            </w:pPr>
            <w:r>
              <w:rPr>
                <w:rFonts w:ascii="Montserrat" w:cs="Montserrat" w:eastAsia="Montserrat" w:hAnsi="Montserrat"/>
                <w:color w:val="F5F0EB"/>
                <w:sz w:val="32"/>
                <w:szCs w:val="32"/>
              </w:rPr>
              <w:t xml:space="preserve">AI Adoption in European Insurance</w:t>
            </w:r>
          </w:p>
          <w:p>
            <w:pPr>
              <w:spacing w:after="60"/>
              <w:jc w:val="right"/>
            </w:pPr>
            <w:r>
              <w:rPr>
                <w:rFonts w:ascii="Rubik" w:cs="Rubik" w:eastAsia="Rubik" w:hAnsi="Rubik"/>
                <w:color w:val="FFFFFF"/>
                <w:sz w:val="22"/>
                <w:szCs w:val="22"/>
              </w:rPr>
              <w:t xml:space="preserve">ממצאי </w:t>
            </w:r>
            <w:r>
              <w:rPr>
                <w:rFonts w:ascii="Montserrat" w:cs="Montserrat" w:eastAsia="Montserrat" w:hAnsi="Montserrat"/>
                <w:color w:val="FFFFFF"/>
                <w:sz w:val="22"/>
                <w:szCs w:val="22"/>
              </w:rPr>
              <w:t xml:space="preserve">EIOPA</w:t>
            </w:r>
            <w:r>
              <w:rPr>
                <w:rFonts w:ascii="Rubik" w:cs="Rubik" w:eastAsia="Rubik" w:hAnsi="Rubik"/>
                <w:color w:val="FFFFFF"/>
                <w:sz w:val="22"/>
                <w:szCs w:val="22"/>
              </w:rPr>
              <w:t xml:space="preserve">, </w:t>
            </w:r>
            <w:r>
              <w:rPr>
                <w:rFonts w:ascii="Montserrat" w:cs="Montserrat" w:eastAsia="Montserrat" w:hAnsi="Montserrat"/>
                <w:color w:val="FFFFFF"/>
                <w:sz w:val="22"/>
                <w:szCs w:val="22"/>
              </w:rPr>
              <w:t xml:space="preserve">Five Sigma</w:t>
            </w:r>
            <w:r>
              <w:rPr>
                <w:rFonts w:ascii="Rubik" w:cs="Rubik" w:eastAsia="Rubik" w:hAnsi="Rubik"/>
                <w:color w:val="FFFFFF"/>
                <w:sz w:val="22"/>
                <w:szCs w:val="22"/>
              </w:rPr>
              <w:t xml:space="preserve"> ו-</w:t>
            </w:r>
            <w:r>
              <w:rPr>
                <w:rFonts w:ascii="Montserrat" w:cs="Montserrat" w:eastAsia="Montserrat" w:hAnsi="Montserrat"/>
                <w:color w:val="FFFFFF"/>
                <w:sz w:val="22"/>
                <w:szCs w:val="22"/>
              </w:rPr>
              <w:t xml:space="preserve">Clive</w:t>
            </w:r>
          </w:p>
          <w:p>
            <w:pPr>
              <w:spacing w:after="60"/>
              <w:jc w:val="right"/>
            </w:pPr>
            <w:r>
              <w:rPr>
                <w:rFonts w:ascii="Montserrat" w:cs="Montserrat" w:eastAsia="Montserrat" w:hAnsi="Montserrat"/>
                <w:color w:val="F5F0EB"/>
                <w:sz w:val="20"/>
                <w:szCs w:val="20"/>
              </w:rPr>
              <w:t xml:space="preserve">March 2026  |  Version 1.0  |  Ben Akiva</w:t>
            </w:r>
          </w:p>
          <w:p>
            <w:pPr>
              <w:spacing w:before="200"/>
              <w:jc w:val="right"/>
            </w:pPr>
            <w:r>
              <w:drawing>
                <wp:inline distT="0" distB="0" distL="0" distR="0">
                  <wp:extent cx="1333500" cy="762000"/>
                  <wp:effectExtent t="0" r="0" b="0" l="0"/>
                  <wp:docPr id="1" name="logo" descr="PassportCard Logo" title="PassportCard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E10514" w:sz="4" w:space="1"/>
        </w:pBdr>
        <w:spacing w:before="200"/>
      </w:pP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60"/>
        <w:jc w:val="right"/>
      </w:pPr>
      <w:r>
        <w:rPr>
          <w:rFonts w:ascii="Rubik" w:cs="Rubik" w:eastAsia="Rubik" w:hAnsi="Rubik"/>
          <w:b/>
          <w:bCs/>
          <w:color w:val="1A2744"/>
          <w:sz w:val="36"/>
          <w:szCs w:val="36"/>
        </w:rPr>
        <w:t xml:space="preserve">תוכן עניינים</w:t>
      </w:r>
      <w:r>
        <w:rPr>
          <w:rFonts w:ascii="Montserrat" w:cs="Montserrat" w:eastAsia="Montserrat" w:hAnsi="Montserrat"/>
          <w:color w:val="1A2744"/>
          <w:sz w:val="26"/>
          <w:szCs w:val="26"/>
        </w:rPr>
        <w:t xml:space="preserve">  / Table of Contents</w:t>
      </w:r>
    </w:p>
    <w:p>
      <w:pPr>
        <w:pBdr>
          <w:bottom w:val="single" w:color="E10514" w:sz="3" w:space="4"/>
        </w:pBdr>
        <w:spacing w:after="300"/>
      </w:pP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10514" w:sz="3" w:space="4"/>
        </w:pBdr>
        <w:spacing w:after="120" w:before="360"/>
        <w:jc w:val="right"/>
      </w:pPr>
      <w:r>
        <w:rPr>
          <w:rFonts w:ascii="Rubik" w:cs="Rubik" w:eastAsia="Rubik" w:hAnsi="Rubik"/>
          <w:b/>
          <w:bCs/>
          <w:color w:val="1A2744"/>
          <w:sz w:val="36"/>
          <w:szCs w:val="36"/>
        </w:rPr>
        <w:t xml:space="preserve">תקציר מנהלים</w:t>
      </w:r>
      <w:r>
        <w:rPr>
          <w:rFonts w:ascii="Montserrat" w:cs="Montserrat" w:eastAsia="Montserrat" w:hAnsi="Montserrat"/>
          <w:b/>
          <w:bCs/>
          <w:color w:val="1A2744"/>
          <w:sz w:val="28"/>
          <w:szCs w:val="28"/>
        </w:rPr>
        <w:t xml:space="preserve">  / Executive Summary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single" w:color="E10514" w:sz="18"/>
            </w:tcBorders>
            <w:shd w:fill="F5F0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276"/>
              <w:jc w:val="right"/>
            </w:pPr>
            <w:r>
              <w:rPr>
                <w:rFonts w:ascii="Rubik" w:cs="Rubik" w:eastAsia="Rubik" w:hAnsi="Rubik"/>
                <w:sz w:val="22"/>
                <w:szCs w:val="22"/>
              </w:rPr>
              <w:t xml:space="preserve">מחקר זה מצביע על כך שאימוץ בינה מלאכותית בענף הביטוח האירופי מאיץ באופן משמעותי. חברות שהטמיעו 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AI</w:t>
            </w:r>
            <w:r>
              <w:rPr>
                <w:rFonts w:ascii="Rubik" w:cs="Rubik" w:eastAsia="Rubik" w:hAnsi="Rubik"/>
                <w:sz w:val="22"/>
                <w:szCs w:val="22"/>
              </w:rPr>
              <w:t xml:space="preserve"> בתהליכי תביעות וחיתום מדווחות על שיפור של 30-50% ביעילות תפעולית. פספורטכארד נמצאת בעמדה אסטרטגית טובה לנצל מגמה זו — אך נדרשת פעולה מהירה לפני שהחלון נסגר.</w:t>
            </w:r>
          </w:p>
        </w:tc>
      </w:tr>
    </w:tbl>
    <w:p>
      <w:pPr>
        <w:pStyle w:val="Heading1"/>
        <w:pBdr>
          <w:bottom w:val="single" w:color="E10514" w:sz="3" w:space="4"/>
        </w:pBdr>
        <w:spacing w:after="120" w:before="360"/>
        <w:jc w:val="right"/>
      </w:pPr>
      <w:r>
        <w:rPr>
          <w:rFonts w:ascii="Rubik" w:cs="Rubik" w:eastAsia="Rubik" w:hAnsi="Rubik"/>
          <w:b/>
          <w:bCs/>
          <w:color w:val="1A2744"/>
          <w:sz w:val="36"/>
          <w:szCs w:val="36"/>
        </w:rPr>
        <w:t xml:space="preserve">רקע</w:t>
      </w:r>
      <w:r>
        <w:rPr>
          <w:rFonts w:ascii="Montserrat" w:cs="Montserrat" w:eastAsia="Montserrat" w:hAnsi="Montserrat"/>
          <w:b/>
          <w:bCs/>
          <w:color w:val="1A2744"/>
          <w:sz w:val="28"/>
          <w:szCs w:val="28"/>
        </w:rPr>
        <w:t xml:space="preserve">  / Background</w:t>
      </w:r>
    </w:p>
    <w:p>
      <w:pPr>
        <w:spacing w:after="12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ענף הביטוח האירופי עובר טרנספורמציה דיגיטלית מואצת. רשות הפיקוח האירופית </w:t>
      </w:r>
      <w:r>
        <w:rPr>
          <w:rFonts w:ascii="Montserrat" w:cs="Montserrat" w:eastAsia="Montserrat" w:hAnsi="Montserrat"/>
          <w:sz w:val="22"/>
          <w:szCs w:val="22"/>
        </w:rPr>
        <w:t xml:space="preserve">(EIOPA)</w:t>
      </w:r>
      <w:r>
        <w:rPr>
          <w:rFonts w:ascii="Rubik" w:cs="Rubik" w:eastAsia="Rubik" w:hAnsi="Rubik"/>
          <w:sz w:val="22"/>
          <w:szCs w:val="22"/>
        </w:rPr>
        <w:t xml:space="preserve"> פרסמה בשנת 2025 מסגרת עדכנית לשימוש אחראי בבינה מלאכותית בענף הביטוח, המעודדת חדשנות תוך שמירה על הגנת הצרכן.</w:t>
      </w:r>
    </w:p>
    <w:p>
      <w:pPr>
        <w:spacing w:after="12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מחקר זה בוחן את מצב אימוץ ה-</w:t>
      </w:r>
      <w:r>
        <w:rPr>
          <w:rFonts w:ascii="Montserrat" w:cs="Montserrat" w:eastAsia="Montserrat" w:hAnsi="Montserrat"/>
          <w:sz w:val="22"/>
          <w:szCs w:val="22"/>
        </w:rPr>
        <w:t xml:space="preserve">AI</w:t>
      </w:r>
      <w:r>
        <w:rPr>
          <w:rFonts w:ascii="Rubik" w:cs="Rubik" w:eastAsia="Rubik" w:hAnsi="Rubik"/>
          <w:sz w:val="22"/>
          <w:szCs w:val="22"/>
        </w:rPr>
        <w:t xml:space="preserve"> בביטוח האירופי, מזהה שחקנים מובילים ופערים, ומגבש המלצות לפספורטכארד.</w:t>
      </w:r>
    </w:p>
    <w:p>
      <w:pPr>
        <w:pStyle w:val="Heading1"/>
        <w:pBdr>
          <w:bottom w:val="single" w:color="E10514" w:sz="3" w:space="4"/>
        </w:pBdr>
        <w:spacing w:after="120" w:before="360"/>
        <w:jc w:val="right"/>
      </w:pPr>
      <w:r>
        <w:rPr>
          <w:rFonts w:ascii="Rubik" w:cs="Rubik" w:eastAsia="Rubik" w:hAnsi="Rubik"/>
          <w:b/>
          <w:bCs/>
          <w:color w:val="1A2744"/>
          <w:sz w:val="36"/>
          <w:szCs w:val="36"/>
        </w:rPr>
        <w:t xml:space="preserve">מתודולוגיה</w:t>
      </w:r>
      <w:r>
        <w:rPr>
          <w:rFonts w:ascii="Montserrat" w:cs="Montserrat" w:eastAsia="Montserrat" w:hAnsi="Montserrat"/>
          <w:b/>
          <w:bCs/>
          <w:color w:val="1A2744"/>
          <w:sz w:val="28"/>
          <w:szCs w:val="28"/>
        </w:rPr>
        <w:t xml:space="preserve">  / Methodology</w:t>
      </w:r>
    </w:p>
    <w:p>
      <w:pPr>
        <w:spacing w:after="12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המחקר מבוסס על ניתוח שלושה מקורות מרכזיים: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86"/>
        <w:gridCol w:w="328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FFFFFF"/>
                <w:sz w:val="20"/>
                <w:szCs w:val="20"/>
              </w:rPr>
              <w:t xml:space="preserve">מקור / Source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FFFFFF"/>
                <w:sz w:val="20"/>
                <w:szCs w:val="20"/>
              </w:rPr>
              <w:t xml:space="preserve">תיאור / Description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FFFFFF"/>
                <w:sz w:val="20"/>
                <w:szCs w:val="20"/>
              </w:rPr>
              <w:t xml:space="preserve">תקופה / Period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EIOPA AI Framework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מסגרת רגולטורית לשימוש אחראי ב-AI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2024-2026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Five Sigma Reports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ניתוח שוק InsurTech ותביעות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2025-2026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Clive by Tractable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מקרה בוחן — AI בתביעות רכב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2024-2026</w:t>
            </w:r>
          </w:p>
        </w:tc>
      </w:tr>
    </w:tbl>
    <w:p>
      <w:pPr>
        <w:pStyle w:val="Heading1"/>
        <w:pBdr>
          <w:bottom w:val="single" w:color="E10514" w:sz="3" w:space="4"/>
        </w:pBdr>
        <w:spacing w:after="120" w:before="360"/>
        <w:jc w:val="right"/>
      </w:pPr>
      <w:r>
        <w:rPr>
          <w:rFonts w:ascii="Rubik" w:cs="Rubik" w:eastAsia="Rubik" w:hAnsi="Rubik"/>
          <w:b/>
          <w:bCs/>
          <w:color w:val="1A2744"/>
          <w:sz w:val="36"/>
          <w:szCs w:val="36"/>
        </w:rPr>
        <w:t xml:space="preserve">ממצאים</w:t>
      </w:r>
      <w:r>
        <w:rPr>
          <w:rFonts w:ascii="Montserrat" w:cs="Montserrat" w:eastAsia="Montserrat" w:hAnsi="Montserrat"/>
          <w:b/>
          <w:bCs/>
          <w:color w:val="1A2744"/>
          <w:sz w:val="28"/>
          <w:szCs w:val="28"/>
        </w:rPr>
        <w:t xml:space="preserve">  / Findings</w:t>
      </w:r>
    </w:p>
    <w:p>
      <w:pPr>
        <w:pStyle w:val="Heading2"/>
        <w:spacing w:after="100" w:before="240"/>
        <w:jc w:val="right"/>
      </w:pPr>
      <w:r>
        <w:rPr>
          <w:rFonts w:ascii="Rubik" w:cs="Rubik" w:eastAsia="Rubik" w:hAnsi="Rubik"/>
          <w:b/>
          <w:bCs/>
          <w:color w:val="1A2744"/>
          <w:sz w:val="28"/>
          <w:szCs w:val="28"/>
        </w:rPr>
        <w:t xml:space="preserve">רגולציה ומדיניות</w:t>
      </w:r>
      <w:r>
        <w:rPr>
          <w:rFonts w:ascii="Montserrat" w:cs="Montserrat" w:eastAsia="Montserrat" w:hAnsi="Montserrat"/>
          <w:color w:val="1A2744"/>
          <w:sz w:val="22"/>
          <w:szCs w:val="22"/>
        </w:rPr>
        <w:t xml:space="preserve">  / Regulation &amp; Policy</w:t>
      </w:r>
    </w:p>
    <w:p>
      <w:pPr>
        <w:pStyle w:val="ListParagraph"/>
        <w:numPr>
          <w:ilvl w:val="0"/>
          <w:numId w:val="2"/>
        </w:numPr>
        <w:spacing w:after="8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מסגרת </w:t>
      </w:r>
      <w:r>
        <w:rPr>
          <w:rFonts w:ascii="Montserrat" w:cs="Montserrat" w:eastAsia="Montserrat" w:hAnsi="Montserrat"/>
          <w:sz w:val="22"/>
          <w:szCs w:val="22"/>
        </w:rPr>
        <w:t xml:space="preserve">EIOPA</w:t>
      </w:r>
      <w:r>
        <w:rPr>
          <w:rFonts w:ascii="Rubik" w:cs="Rubik" w:eastAsia="Rubik" w:hAnsi="Rubik"/>
          <w:sz w:val="22"/>
          <w:szCs w:val="22"/>
        </w:rPr>
        <w:t xml:space="preserve"> דורשת שקיפות מלאה בהחלטות אלגוריתמיות — כל מודל </w:t>
      </w:r>
      <w:r>
        <w:rPr>
          <w:rFonts w:ascii="Montserrat" w:cs="Montserrat" w:eastAsia="Montserrat" w:hAnsi="Montserrat"/>
          <w:sz w:val="22"/>
          <w:szCs w:val="22"/>
        </w:rPr>
        <w:t xml:space="preserve">AI</w:t>
      </w:r>
      <w:r>
        <w:rPr>
          <w:rFonts w:ascii="Rubik" w:cs="Rubik" w:eastAsia="Rubik" w:hAnsi="Rubik"/>
          <w:sz w:val="22"/>
          <w:szCs w:val="22"/>
        </w:rPr>
        <w:t xml:space="preserve"> חייב להיות ניתן להסבר (</w:t>
      </w:r>
      <w:r>
        <w:rPr>
          <w:rFonts w:ascii="Montserrat" w:cs="Montserrat" w:eastAsia="Montserrat" w:hAnsi="Montserrat"/>
          <w:i/>
          <w:iCs/>
          <w:sz w:val="22"/>
          <w:szCs w:val="22"/>
        </w:rPr>
        <w:t xml:space="preserve">Explainable AI</w:t>
      </w:r>
      <w:r>
        <w:rPr>
          <w:rFonts w:ascii="Rubik" w:cs="Rubik" w:eastAsia="Rubik" w:hAnsi="Rubik"/>
          <w:sz w:val="22"/>
          <w:szCs w:val="22"/>
        </w:rPr>
        <w:t xml:space="preserve">). </w:t>
      </w:r>
      <w:r>
        <w:rPr>
          <w:rFonts w:ascii="Montserrat" w:cs="Montserrat" w:eastAsia="Montserrat" w:hAnsi="Montserrat"/>
          <w:b/>
          <w:bCs/>
          <w:color w:val="2E7D32"/>
          <w:sz w:val="18"/>
          <w:szCs w:val="18"/>
        </w:rPr>
        <w:t xml:space="preserve">[HIGH]</w:t>
      </w:r>
    </w:p>
    <w:p>
      <w:pPr>
        <w:pStyle w:val="ListParagraph"/>
        <w:numPr>
          <w:ilvl w:val="0"/>
          <w:numId w:val="2"/>
        </w:numPr>
        <w:spacing w:after="8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חברות ביטוח שלא יעמדו בדרישות התיעוד של </w:t>
      </w:r>
      <w:r>
        <w:rPr>
          <w:rFonts w:ascii="Montserrat" w:cs="Montserrat" w:eastAsia="Montserrat" w:hAnsi="Montserrat"/>
          <w:sz w:val="22"/>
          <w:szCs w:val="22"/>
        </w:rPr>
        <w:t xml:space="preserve">AI Act</w:t>
      </w:r>
      <w:r>
        <w:rPr>
          <w:rFonts w:ascii="Rubik" w:cs="Rubik" w:eastAsia="Rubik" w:hAnsi="Rubik"/>
          <w:sz w:val="22"/>
          <w:szCs w:val="22"/>
        </w:rPr>
        <w:t xml:space="preserve"> האירופי עד </w:t>
      </w:r>
      <w:r>
        <w:rPr>
          <w:rFonts w:ascii="Montserrat" w:cs="Montserrat" w:eastAsia="Montserrat" w:hAnsi="Montserrat"/>
          <w:sz w:val="22"/>
          <w:szCs w:val="22"/>
        </w:rPr>
        <w:t xml:space="preserve">Q4 2026</w:t>
      </w:r>
      <w:r>
        <w:rPr>
          <w:rFonts w:ascii="Rubik" w:cs="Rubik" w:eastAsia="Rubik" w:hAnsi="Rubik"/>
          <w:sz w:val="22"/>
          <w:szCs w:val="22"/>
        </w:rPr>
        <w:t xml:space="preserve"> צפויות לקנסות משמעותיים. </w:t>
      </w:r>
      <w:r>
        <w:rPr>
          <w:rFonts w:ascii="Montserrat" w:cs="Montserrat" w:eastAsia="Montserrat" w:hAnsi="Montserrat"/>
          <w:b/>
          <w:bCs/>
          <w:color w:val="2E7D32"/>
          <w:sz w:val="18"/>
          <w:szCs w:val="18"/>
        </w:rPr>
        <w:t xml:space="preserve">[HIGH]</w:t>
      </w:r>
    </w:p>
    <w:p>
      <w:pPr>
        <w:pStyle w:val="Heading2"/>
        <w:spacing w:after="100" w:before="240"/>
        <w:jc w:val="right"/>
      </w:pPr>
      <w:r>
        <w:rPr>
          <w:rFonts w:ascii="Rubik" w:cs="Rubik" w:eastAsia="Rubik" w:hAnsi="Rubik"/>
          <w:b/>
          <w:bCs/>
          <w:color w:val="1A2744"/>
          <w:sz w:val="28"/>
          <w:szCs w:val="28"/>
        </w:rPr>
        <w:t xml:space="preserve">טכנולוגיה ואימוץ</w:t>
      </w:r>
      <w:r>
        <w:rPr>
          <w:rFonts w:ascii="Montserrat" w:cs="Montserrat" w:eastAsia="Montserrat" w:hAnsi="Montserrat"/>
          <w:color w:val="1A2744"/>
          <w:sz w:val="22"/>
          <w:szCs w:val="22"/>
        </w:rPr>
        <w:t xml:space="preserve">  / Technology &amp; Adoption</w:t>
      </w:r>
    </w:p>
    <w:p>
      <w:pPr>
        <w:pStyle w:val="ListParagraph"/>
        <w:numPr>
          <w:ilvl w:val="0"/>
          <w:numId w:val="2"/>
        </w:numPr>
        <w:spacing w:after="80" w:line="276"/>
        <w:jc w:val="right"/>
      </w:pPr>
      <w:r>
        <w:rPr>
          <w:rFonts w:ascii="Montserrat" w:cs="Montserrat" w:eastAsia="Montserrat" w:hAnsi="Montserrat"/>
          <w:sz w:val="22"/>
          <w:szCs w:val="22"/>
        </w:rPr>
        <w:t xml:space="preserve">Five Sigma</w:t>
      </w:r>
      <w:r>
        <w:rPr>
          <w:rFonts w:ascii="Rubik" w:cs="Rubik" w:eastAsia="Rubik" w:hAnsi="Rubik"/>
          <w:sz w:val="22"/>
          <w:szCs w:val="22"/>
        </w:rPr>
        <w:t xml:space="preserve"> מדווחת כי 67% מחברות הביטוח באירופה כבר מפעילות פיילוט </w:t>
      </w:r>
      <w:r>
        <w:rPr>
          <w:rFonts w:ascii="Montserrat" w:cs="Montserrat" w:eastAsia="Montserrat" w:hAnsi="Montserrat"/>
          <w:sz w:val="22"/>
          <w:szCs w:val="22"/>
        </w:rPr>
        <w:t xml:space="preserve">AI</w:t>
      </w:r>
      <w:r>
        <w:rPr>
          <w:rFonts w:ascii="Rubik" w:cs="Rubik" w:eastAsia="Rubik" w:hAnsi="Rubik"/>
          <w:sz w:val="22"/>
          <w:szCs w:val="22"/>
        </w:rPr>
        <w:t xml:space="preserve"> אחד לפחות בתחום התביעות. </w:t>
      </w:r>
      <w:r>
        <w:rPr>
          <w:rFonts w:ascii="Montserrat" w:cs="Montserrat" w:eastAsia="Montserrat" w:hAnsi="Montserrat"/>
          <w:b/>
          <w:bCs/>
          <w:color w:val="2E7D32"/>
          <w:sz w:val="18"/>
          <w:szCs w:val="18"/>
        </w:rPr>
        <w:t xml:space="preserve">[HIGH]</w:t>
      </w:r>
    </w:p>
    <w:p>
      <w:pPr>
        <w:pStyle w:val="ListParagraph"/>
        <w:numPr>
          <w:ilvl w:val="0"/>
          <w:numId w:val="2"/>
        </w:numPr>
        <w:spacing w:after="8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זמן טיפול ממוצע בתביעה ירד ב-40% בחברות שהטמיעו </w:t>
      </w:r>
      <w:r>
        <w:rPr>
          <w:rFonts w:ascii="Montserrat" w:cs="Montserrat" w:eastAsia="Montserrat" w:hAnsi="Montserrat"/>
          <w:sz w:val="22"/>
          <w:szCs w:val="22"/>
        </w:rPr>
        <w:t xml:space="preserve">AI</w:t>
      </w:r>
      <w:r>
        <w:rPr>
          <w:rFonts w:ascii="Rubik" w:cs="Rubik" w:eastAsia="Rubik" w:hAnsi="Rubik"/>
          <w:sz w:val="22"/>
          <w:szCs w:val="22"/>
        </w:rPr>
        <w:t xml:space="preserve"> לעיבוד מסמכים אוטומטי. </w:t>
      </w:r>
      <w:r>
        <w:rPr>
          <w:rFonts w:ascii="Montserrat" w:cs="Montserrat" w:eastAsia="Montserrat" w:hAnsi="Montserrat"/>
          <w:b/>
          <w:bCs/>
          <w:color w:val="F57F17"/>
          <w:sz w:val="18"/>
          <w:szCs w:val="18"/>
        </w:rPr>
        <w:t xml:space="preserve">[MEDIUM]</w:t>
      </w:r>
    </w:p>
    <w:p>
      <w:pPr>
        <w:pStyle w:val="Heading2"/>
        <w:spacing w:after="100" w:before="240"/>
        <w:jc w:val="right"/>
      </w:pPr>
      <w:r>
        <w:rPr>
          <w:rFonts w:ascii="Rubik" w:cs="Rubik" w:eastAsia="Rubik" w:hAnsi="Rubik"/>
          <w:b/>
          <w:bCs/>
          <w:color w:val="1A2744"/>
          <w:sz w:val="28"/>
          <w:szCs w:val="28"/>
        </w:rPr>
        <w:t xml:space="preserve">מקרה בוחן: Clive by Tractable</w:t>
      </w:r>
      <w:r>
        <w:rPr>
          <w:rFonts w:ascii="Montserrat" w:cs="Montserrat" w:eastAsia="Montserrat" w:hAnsi="Montserrat"/>
          <w:color w:val="1A2744"/>
          <w:sz w:val="22"/>
          <w:szCs w:val="22"/>
        </w:rPr>
        <w:t xml:space="preserve">  / Case Study: Clive by Tractable</w:t>
      </w:r>
    </w:p>
    <w:p>
      <w:pPr>
        <w:pStyle w:val="ListParagraph"/>
        <w:numPr>
          <w:ilvl w:val="0"/>
          <w:numId w:val="2"/>
        </w:numPr>
        <w:spacing w:after="80" w:line="276"/>
        <w:jc w:val="right"/>
      </w:pPr>
      <w:r>
        <w:rPr>
          <w:rFonts w:ascii="Montserrat" w:cs="Montserrat" w:eastAsia="Montserrat" w:hAnsi="Montserrat"/>
          <w:sz w:val="22"/>
          <w:szCs w:val="22"/>
        </w:rPr>
        <w:t xml:space="preserve">Clive</w:t>
      </w:r>
      <w:r>
        <w:rPr>
          <w:rFonts w:ascii="Rubik" w:cs="Rubik" w:eastAsia="Rubik" w:hAnsi="Rubik"/>
          <w:sz w:val="22"/>
          <w:szCs w:val="22"/>
        </w:rPr>
        <w:t xml:space="preserve"> (</w:t>
      </w:r>
      <w:r>
        <w:rPr>
          <w:rFonts w:ascii="Montserrat" w:cs="Montserrat" w:eastAsia="Montserrat" w:hAnsi="Montserrat"/>
          <w:sz w:val="22"/>
          <w:szCs w:val="22"/>
        </w:rPr>
        <w:t xml:space="preserve">Tractable</w:t>
      </w:r>
      <w:r>
        <w:rPr>
          <w:rFonts w:ascii="Rubik" w:cs="Rubik" w:eastAsia="Rubik" w:hAnsi="Rubik"/>
          <w:sz w:val="22"/>
          <w:szCs w:val="22"/>
        </w:rPr>
        <w:t xml:space="preserve">) הפחית זמן הערכת נזק מ-5 ימים ליום אחד עבור </w:t>
      </w:r>
      <w:r>
        <w:rPr>
          <w:rFonts w:ascii="Montserrat" w:cs="Montserrat" w:eastAsia="Montserrat" w:hAnsi="Montserrat"/>
          <w:sz w:val="22"/>
          <w:szCs w:val="22"/>
        </w:rPr>
        <w:t xml:space="preserve">Ageas</w:t>
      </w:r>
      <w:r>
        <w:rPr>
          <w:rFonts w:ascii="Rubik" w:cs="Rubik" w:eastAsia="Rubik" w:hAnsi="Rubik"/>
          <w:sz w:val="22"/>
          <w:szCs w:val="22"/>
        </w:rPr>
        <w:t xml:space="preserve"> בבלגיה. </w:t>
      </w:r>
      <w:r>
        <w:rPr>
          <w:rFonts w:ascii="Montserrat" w:cs="Montserrat" w:eastAsia="Montserrat" w:hAnsi="Montserrat"/>
          <w:b/>
          <w:bCs/>
          <w:color w:val="2E7D32"/>
          <w:sz w:val="18"/>
          <w:szCs w:val="18"/>
        </w:rPr>
        <w:t xml:space="preserve">[HIGH]</w:t>
      </w:r>
    </w:p>
    <w:p>
      <w:r>
        <w:br w:type="page"/>
      </w:r>
    </w:p>
    <w:p>
      <w:pPr>
        <w:pStyle w:val="Heading1"/>
        <w:pBdr>
          <w:bottom w:val="single" w:color="E10514" w:sz="3" w:space="4"/>
        </w:pBdr>
        <w:spacing w:after="120" w:before="360"/>
        <w:jc w:val="right"/>
      </w:pPr>
      <w:r>
        <w:rPr>
          <w:rFonts w:ascii="Rubik" w:cs="Rubik" w:eastAsia="Rubik" w:hAnsi="Rubik"/>
          <w:b/>
          <w:bCs/>
          <w:color w:val="1A2744"/>
          <w:sz w:val="36"/>
          <w:szCs w:val="36"/>
        </w:rPr>
        <w:t xml:space="preserve">ניתוח</w:t>
      </w:r>
      <w:r>
        <w:rPr>
          <w:rFonts w:ascii="Montserrat" w:cs="Montserrat" w:eastAsia="Montserrat" w:hAnsi="Montserrat"/>
          <w:b/>
          <w:bCs/>
          <w:color w:val="1A2744"/>
          <w:sz w:val="28"/>
          <w:szCs w:val="28"/>
        </w:rPr>
        <w:t xml:space="preserve">  / Analysis</w:t>
      </w:r>
    </w:p>
    <w:p>
      <w:pPr>
        <w:spacing w:after="12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הממצאים מצביעים על שלוש מגמות מרכזיות הרלוונטיות לפספורטכארד: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FFFFFF"/>
                <w:sz w:val="20"/>
                <w:szCs w:val="20"/>
              </w:rPr>
              <w:t xml:space="preserve">מגמה / Trend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FFFFFF"/>
                <w:sz w:val="20"/>
                <w:szCs w:val="20"/>
              </w:rPr>
              <w:t xml:space="preserve">השפעה על פספורטכארד / Impact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FFFFFF"/>
                <w:sz w:val="20"/>
                <w:szCs w:val="20"/>
              </w:rPr>
              <w:t xml:space="preserve">דחיפות / Urgency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רגולציית AI מחמירה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חובת תיעוד ושקיפות לכל מודל AI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אוטומציית תביעות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הזדמנות לקיצור זמנים והפחתת טעויות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AI גנרטיבי בשירות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שיפור חוויית סוכן ולקוח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בינונית</w:t>
            </w:r>
          </w:p>
        </w:tc>
      </w:tr>
    </w:tbl>
    <w:p>
      <w:pPr>
        <w:pStyle w:val="Heading1"/>
        <w:pBdr>
          <w:bottom w:val="single" w:color="E10514" w:sz="3" w:space="4"/>
        </w:pBdr>
        <w:spacing w:after="120" w:before="360"/>
        <w:jc w:val="right"/>
      </w:pPr>
      <w:r>
        <w:rPr>
          <w:rFonts w:ascii="Rubik" w:cs="Rubik" w:eastAsia="Rubik" w:hAnsi="Rubik"/>
          <w:b/>
          <w:bCs/>
          <w:color w:val="1A2744"/>
          <w:sz w:val="36"/>
          <w:szCs w:val="36"/>
        </w:rPr>
        <w:t xml:space="preserve">המלצות</w:t>
      </w:r>
      <w:r>
        <w:rPr>
          <w:rFonts w:ascii="Montserrat" w:cs="Montserrat" w:eastAsia="Montserrat" w:hAnsi="Montserrat"/>
          <w:b/>
          <w:bCs/>
          <w:color w:val="1A2744"/>
          <w:sz w:val="28"/>
          <w:szCs w:val="28"/>
        </w:rPr>
        <w:t xml:space="preserve">  / Recommendations</w:t>
      </w:r>
    </w:p>
    <w:p>
      <w:pPr>
        <w:pStyle w:val="ListParagraph"/>
        <w:numPr>
          <w:ilvl w:val="0"/>
          <w:numId w:val="3"/>
        </w:numPr>
        <w:spacing w:after="120" w:line="276"/>
        <w:jc w:val="right"/>
      </w:pPr>
      <w:r>
        <w:rPr>
          <w:rFonts w:ascii="Rubik" w:cs="Rubik" w:eastAsia="Rubik" w:hAnsi="Rubik"/>
          <w:b/>
          <w:bCs/>
          <w:sz w:val="22"/>
          <w:szCs w:val="22"/>
        </w:rPr>
        <w:t xml:space="preserve">הקמת צוות AI ייעודי (3-4 אנשים) לליווי פרויקטים</w:t>
      </w:r>
      <w:r>
        <w:rPr>
          <w:rFonts w:ascii="Rubik" w:cs="Rubik" w:eastAsia="Rubik" w:hAnsi="Rubik"/>
          <w:sz w:val="22"/>
          <w:szCs w:val="22"/>
        </w:rPr>
        <w:t xml:space="preserve"> — </w:t>
      </w:r>
      <w:r>
        <w:rPr>
          <w:rFonts w:ascii="Rubik" w:cs="Rubik" w:eastAsia="Rubik" w:hAnsi="Rubik"/>
          <w:sz w:val="22"/>
          <w:szCs w:val="22"/>
        </w:rPr>
        <w:t xml:space="preserve">בן עקיבא, VP R&amp;D</w:t>
      </w:r>
      <w:r>
        <w:rPr>
          <w:rFonts w:ascii="Rubik" w:cs="Rubik" w:eastAsia="Rubik" w:hAnsi="Rubik"/>
          <w:sz w:val="22"/>
          <w:szCs w:val="22"/>
        </w:rPr>
        <w:t xml:space="preserve"> — </w:t>
      </w:r>
      <w:r>
        <w:rPr>
          <w:rFonts w:ascii="Montserrat" w:cs="Montserrat" w:eastAsia="Montserrat" w:hAnsi="Montserrat"/>
          <w:sz w:val="22"/>
          <w:szCs w:val="22"/>
        </w:rPr>
        <w:t xml:space="preserve">Q2 2026</w:t>
      </w:r>
      <w:r>
        <w:rPr>
          <w:rFonts w:ascii="Rubik" w:cs="Rubik" w:eastAsia="Rubik" w:hAnsi="Rubik"/>
          <w:color w:val="666666"/>
          <w:sz w:val="22"/>
          <w:szCs w:val="22"/>
        </w:rPr>
        <w:t xml:space="preserve">. השפעה צפויה: </w:t>
      </w:r>
      <w:r>
        <w:rPr>
          <w:rFonts w:ascii="Rubik" w:cs="Rubik" w:eastAsia="Rubik" w:hAnsi="Rubik"/>
          <w:color w:val="666666"/>
          <w:sz w:val="22"/>
          <w:szCs w:val="22"/>
        </w:rPr>
        <w:t xml:space="preserve">תשתית ארגונית לכל פרויקטי AI</w:t>
      </w:r>
    </w:p>
    <w:p>
      <w:pPr>
        <w:pStyle w:val="ListParagraph"/>
        <w:numPr>
          <w:ilvl w:val="0"/>
          <w:numId w:val="3"/>
        </w:numPr>
        <w:spacing w:after="120" w:line="276"/>
        <w:jc w:val="right"/>
      </w:pPr>
      <w:r>
        <w:rPr>
          <w:rFonts w:ascii="Rubik" w:cs="Rubik" w:eastAsia="Rubik" w:hAnsi="Rubik"/>
          <w:b/>
          <w:bCs/>
          <w:sz w:val="22"/>
          <w:szCs w:val="22"/>
        </w:rPr>
        <w:t xml:space="preserve">פיילוט אוטומציית תביעות עם Claude</w:t>
      </w:r>
      <w:r>
        <w:rPr>
          <w:rFonts w:ascii="Rubik" w:cs="Rubik" w:eastAsia="Rubik" w:hAnsi="Rubik"/>
          <w:sz w:val="22"/>
          <w:szCs w:val="22"/>
        </w:rPr>
        <w:t xml:space="preserve"> — </w:t>
      </w:r>
      <w:r>
        <w:rPr>
          <w:rFonts w:ascii="Rubik" w:cs="Rubik" w:eastAsia="Rubik" w:hAnsi="Rubik"/>
          <w:sz w:val="22"/>
          <w:szCs w:val="22"/>
        </w:rPr>
        <w:t xml:space="preserve">מנהל תפעול, בן עקיבא</w:t>
      </w:r>
      <w:r>
        <w:rPr>
          <w:rFonts w:ascii="Rubik" w:cs="Rubik" w:eastAsia="Rubik" w:hAnsi="Rubik"/>
          <w:sz w:val="22"/>
          <w:szCs w:val="22"/>
        </w:rPr>
        <w:t xml:space="preserve"> — </w:t>
      </w:r>
      <w:r>
        <w:rPr>
          <w:rFonts w:ascii="Montserrat" w:cs="Montserrat" w:eastAsia="Montserrat" w:hAnsi="Montserrat"/>
          <w:sz w:val="22"/>
          <w:szCs w:val="22"/>
        </w:rPr>
        <w:t xml:space="preserve">Q2-Q3 2026</w:t>
      </w:r>
      <w:r>
        <w:rPr>
          <w:rFonts w:ascii="Rubik" w:cs="Rubik" w:eastAsia="Rubik" w:hAnsi="Rubik"/>
          <w:color w:val="666666"/>
          <w:sz w:val="22"/>
          <w:szCs w:val="22"/>
        </w:rPr>
        <w:t xml:space="preserve">. השפעה צפויה: </w:t>
      </w:r>
      <w:r>
        <w:rPr>
          <w:rFonts w:ascii="Rubik" w:cs="Rubik" w:eastAsia="Rubik" w:hAnsi="Rubik"/>
          <w:color w:val="666666"/>
          <w:sz w:val="22"/>
          <w:szCs w:val="22"/>
        </w:rPr>
        <w:t xml:space="preserve">הפחתת 40% בזמני טיפול</w:t>
      </w:r>
    </w:p>
    <w:p>
      <w:pPr>
        <w:pStyle w:val="ListParagraph"/>
        <w:numPr>
          <w:ilvl w:val="0"/>
          <w:numId w:val="3"/>
        </w:numPr>
        <w:spacing w:after="120" w:line="276"/>
        <w:jc w:val="right"/>
      </w:pPr>
      <w:r>
        <w:rPr>
          <w:rFonts w:ascii="Rubik" w:cs="Rubik" w:eastAsia="Rubik" w:hAnsi="Rubik"/>
          <w:b/>
          <w:bCs/>
          <w:sz w:val="22"/>
          <w:szCs w:val="22"/>
        </w:rPr>
        <w:t xml:space="preserve">הטמעת מסגרת Explainable AI בהתאם ל-EIOPA</w:t>
      </w:r>
      <w:r>
        <w:rPr>
          <w:rFonts w:ascii="Rubik" w:cs="Rubik" w:eastAsia="Rubik" w:hAnsi="Rubik"/>
          <w:sz w:val="22"/>
          <w:szCs w:val="22"/>
        </w:rPr>
        <w:t xml:space="preserve"> — </w:t>
      </w:r>
      <w:r>
        <w:rPr>
          <w:rFonts w:ascii="Rubik" w:cs="Rubik" w:eastAsia="Rubik" w:hAnsi="Rubik"/>
          <w:sz w:val="22"/>
          <w:szCs w:val="22"/>
        </w:rPr>
        <w:t xml:space="preserve">צוות IT, יועץ משפטי</w:t>
      </w:r>
      <w:r>
        <w:rPr>
          <w:rFonts w:ascii="Rubik" w:cs="Rubik" w:eastAsia="Rubik" w:hAnsi="Rubik"/>
          <w:sz w:val="22"/>
          <w:szCs w:val="22"/>
        </w:rPr>
        <w:t xml:space="preserve"> — </w:t>
      </w:r>
      <w:r>
        <w:rPr>
          <w:rFonts w:ascii="Montserrat" w:cs="Montserrat" w:eastAsia="Montserrat" w:hAnsi="Montserrat"/>
          <w:sz w:val="22"/>
          <w:szCs w:val="22"/>
        </w:rPr>
        <w:t xml:space="preserve">Q3 2026</w:t>
      </w:r>
      <w:r>
        <w:rPr>
          <w:rFonts w:ascii="Rubik" w:cs="Rubik" w:eastAsia="Rubik" w:hAnsi="Rubik"/>
          <w:color w:val="666666"/>
          <w:sz w:val="22"/>
          <w:szCs w:val="22"/>
        </w:rPr>
        <w:t xml:space="preserve">. השפעה צפויה: </w:t>
      </w:r>
      <w:r>
        <w:rPr>
          <w:rFonts w:ascii="Rubik" w:cs="Rubik" w:eastAsia="Rubik" w:hAnsi="Rubik"/>
          <w:color w:val="666666"/>
          <w:sz w:val="22"/>
          <w:szCs w:val="22"/>
        </w:rPr>
        <w:t xml:space="preserve">עמידה ברגולציה, הימנעות מקנסות</w:t>
      </w:r>
    </w:p>
    <w:p>
      <w:pPr>
        <w:pStyle w:val="Heading1"/>
        <w:pBdr>
          <w:bottom w:val="single" w:color="E10514" w:sz="3" w:space="4"/>
        </w:pBdr>
        <w:spacing w:after="120" w:before="360"/>
        <w:jc w:val="right"/>
      </w:pPr>
      <w:r>
        <w:rPr>
          <w:rFonts w:ascii="Rubik" w:cs="Rubik" w:eastAsia="Rubik" w:hAnsi="Rubik"/>
          <w:b/>
          <w:bCs/>
          <w:color w:val="1A2744"/>
          <w:sz w:val="36"/>
          <w:szCs w:val="36"/>
        </w:rPr>
        <w:t xml:space="preserve">נספחים</w:t>
      </w:r>
      <w:r>
        <w:rPr>
          <w:rFonts w:ascii="Montserrat" w:cs="Montserrat" w:eastAsia="Montserrat" w:hAnsi="Montserrat"/>
          <w:b/>
          <w:bCs/>
          <w:color w:val="1A2744"/>
          <w:sz w:val="28"/>
          <w:szCs w:val="28"/>
        </w:rPr>
        <w:t xml:space="preserve">  / Appendix</w:t>
      </w:r>
    </w:p>
    <w:p>
      <w:pPr>
        <w:pStyle w:val="Heading2"/>
        <w:spacing w:after="100" w:before="240"/>
        <w:jc w:val="right"/>
      </w:pPr>
      <w:r>
        <w:rPr>
          <w:rFonts w:ascii="Rubik" w:cs="Rubik" w:eastAsia="Rubik" w:hAnsi="Rubik"/>
          <w:b/>
          <w:bCs/>
          <w:color w:val="1A2744"/>
          <w:sz w:val="28"/>
          <w:szCs w:val="28"/>
        </w:rPr>
        <w:t xml:space="preserve">מקורות</w:t>
      </w:r>
      <w:r>
        <w:rPr>
          <w:rFonts w:ascii="Montserrat" w:cs="Montserrat" w:eastAsia="Montserrat" w:hAnsi="Montserrat"/>
          <w:color w:val="1A2744"/>
          <w:sz w:val="22"/>
          <w:szCs w:val="22"/>
        </w:rPr>
        <w:t xml:space="preserve">  / Sources</w:t>
      </w:r>
    </w:p>
    <w:p>
      <w:pPr>
        <w:spacing w:after="60" w:line="264"/>
        <w:jc w:val="left"/>
      </w:pPr>
      <w:r>
        <w:rPr>
          <w:rFonts w:ascii="Montserrat" w:cs="Montserrat" w:eastAsia="Montserrat" w:hAnsi="Montserrat"/>
          <w:b/>
          <w:bCs/>
          <w:color w:val="1A2744"/>
          <w:sz w:val="18"/>
          <w:szCs w:val="18"/>
        </w:rPr>
        <w:t xml:space="preserve">[1] </w:t>
      </w:r>
      <w:r>
        <w:rPr>
          <w:rFonts w:ascii="Montserrat" w:cs="Montserrat" w:eastAsia="Montserrat" w:hAnsi="Montserrat"/>
          <w:color w:val="555555"/>
          <w:sz w:val="18"/>
          <w:szCs w:val="18"/>
        </w:rPr>
        <w:t xml:space="preserve">EIOPA, "Artificial Intelligence Governance Principles for the Insurance Sector," 2025.</w:t>
      </w:r>
    </w:p>
    <w:p>
      <w:pPr>
        <w:spacing w:after="60" w:line="264"/>
        <w:jc w:val="left"/>
      </w:pPr>
      <w:r>
        <w:rPr>
          <w:rFonts w:ascii="Montserrat" w:cs="Montserrat" w:eastAsia="Montserrat" w:hAnsi="Montserrat"/>
          <w:b/>
          <w:bCs/>
          <w:color w:val="1A2744"/>
          <w:sz w:val="18"/>
          <w:szCs w:val="18"/>
        </w:rPr>
        <w:t xml:space="preserve">[2] </w:t>
      </w:r>
      <w:r>
        <w:rPr>
          <w:rFonts w:ascii="Montserrat" w:cs="Montserrat" w:eastAsia="Montserrat" w:hAnsi="Montserrat"/>
          <w:color w:val="555555"/>
          <w:sz w:val="18"/>
          <w:szCs w:val="18"/>
        </w:rPr>
        <w:t xml:space="preserve">Five Sigma, "State of AI in Insurance Claims," Annual Report 2025-2026.</w:t>
      </w:r>
    </w:p>
    <w:p>
      <w:pPr>
        <w:spacing w:after="60" w:line="264"/>
        <w:jc w:val="left"/>
      </w:pPr>
      <w:r>
        <w:rPr>
          <w:rFonts w:ascii="Montserrat" w:cs="Montserrat" w:eastAsia="Montserrat" w:hAnsi="Montserrat"/>
          <w:b/>
          <w:bCs/>
          <w:color w:val="1A2744"/>
          <w:sz w:val="18"/>
          <w:szCs w:val="18"/>
        </w:rPr>
        <w:t xml:space="preserve">[3] </w:t>
      </w:r>
      <w:r>
        <w:rPr>
          <w:rFonts w:ascii="Montserrat" w:cs="Montserrat" w:eastAsia="Montserrat" w:hAnsi="Montserrat"/>
          <w:color w:val="555555"/>
          <w:sz w:val="18"/>
          <w:szCs w:val="18"/>
        </w:rPr>
        <w:t xml:space="preserve">Tractable, "Clive Case Study: Ageas Belgium," 2025.</w:t>
      </w:r>
    </w:p>
    <w:p>
      <w:pPr>
        <w:spacing w:after="60" w:line="264"/>
        <w:jc w:val="left"/>
      </w:pPr>
      <w:r>
        <w:rPr>
          <w:rFonts w:ascii="Montserrat" w:cs="Montserrat" w:eastAsia="Montserrat" w:hAnsi="Montserrat"/>
          <w:b/>
          <w:bCs/>
          <w:color w:val="1A2744"/>
          <w:sz w:val="18"/>
          <w:szCs w:val="18"/>
        </w:rPr>
        <w:t xml:space="preserve">[4] </w:t>
      </w:r>
      <w:r>
        <w:rPr>
          <w:rFonts w:ascii="Montserrat" w:cs="Montserrat" w:eastAsia="Montserrat" w:hAnsi="Montserrat"/>
          <w:color w:val="555555"/>
          <w:sz w:val="18"/>
          <w:szCs w:val="18"/>
        </w:rPr>
        <w:t xml:space="preserve">European Commission, "AI Act Implementation Guidelines for Financial Services," 2025.</w:t>
      </w:r>
    </w:p>
    <w:sectPr>
      <w:headerReference w:type="default" r:id="rId9"/>
      <w:footerReference w:type="default" r:id="rId10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88888"/>
        <w:sz w:val="16"/>
        <w:szCs w:val="16"/>
      </w:rPr>
      <w:t xml:space="preserve">PassportCard | </w:t>
    </w:r>
    <w:r>
      <w:rPr>
        <w:rFonts w:ascii="Rubik" w:cs="Rubik" w:eastAsia="Rubik" w:hAnsi="Rubik"/>
        <w:color w:val="888888"/>
        <w:sz w:val="16"/>
        <w:szCs w:val="16"/>
      </w:rPr>
      <w:t xml:space="preserve">סודי</w:t>
    </w:r>
    <w:r>
      <w:rPr>
        <w:rFonts w:ascii="Montserrat" w:cs="Montserrat" w:eastAsia="Montserrat" w:hAnsi="Montserrat"/>
        <w:color w:val="888888"/>
        <w:sz w:val="16"/>
        <w:szCs w:val="16"/>
      </w:rPr>
      <w:t xml:space="preserve"> - Confidential</w:t>
    </w:r>
    <w:r>
      <w:rPr>
        <w:rFonts w:ascii="Montserrat" w:cs="Montserrat" w:eastAsia="Montserrat" w:hAnsi="Montserrat"/>
        <w:color w:val="888888"/>
        <w:sz w:val="16"/>
        <w:szCs w:val="16"/>
      </w:rPr>
      <w:t xml:space="preserve">    |    Page </w:t>
    </w:r>
    <w:r>
      <w:rPr>
        <w:rFonts w:ascii="Montserrat" w:cs="Montserrat" w:eastAsia="Montserrat" w:hAnsi="Montserrat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88888"/>
        <w:sz w:val="16"/>
        <w:szCs w:val="16"/>
      </w:rPr>
      <w:t xml:space="preserve">PassportCard | </w:t>
    </w:r>
    <w:r>
      <w:rPr>
        <w:rFonts w:ascii="Rubik" w:cs="Rubik" w:eastAsia="Rubik" w:hAnsi="Rubik"/>
        <w:color w:val="888888"/>
        <w:sz w:val="16"/>
        <w:szCs w:val="16"/>
      </w:rPr>
      <w:t xml:space="preserve">סודי</w:t>
    </w:r>
    <w:r>
      <w:rPr>
        <w:rFonts w:ascii="Montserrat" w:cs="Montserrat" w:eastAsia="Montserrat" w:hAnsi="Montserrat"/>
        <w:color w:val="888888"/>
        <w:sz w:val="16"/>
        <w:szCs w:val="16"/>
      </w:rPr>
      <w:t xml:space="preserve"> - Confidential</w:t>
    </w:r>
    <w:r>
      <w:rPr>
        <w:rFonts w:ascii="Montserrat" w:cs="Montserrat" w:eastAsia="Montserrat" w:hAnsi="Montserrat"/>
        <w:color w:val="888888"/>
        <w:sz w:val="16"/>
        <w:szCs w:val="16"/>
      </w:rPr>
      <w:t xml:space="preserve">    |    Page </w:t>
    </w:r>
    <w:r>
      <w:rPr>
        <w:rFonts w:ascii="Montserrat" w:cs="Montserrat" w:eastAsia="Montserrat" w:hAnsi="Montserrat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143000" cy="647700"/>
          <wp:effectExtent t="0" r="0" b="0" l="0"/>
          <wp:docPr id="1" name="logo" descr="PassportCard Logo" title="PassportCar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143000" cy="647700"/>
          <wp:effectExtent t="0" r="0" b="0" l="0"/>
          <wp:docPr id="1" name="logo" descr="PassportCard Logo" title="PassportCar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Montserrat" w:cs="Montserrat" w:eastAsia="Montserrat" w:hAnsi="Montserrat"/>
        <w:color w:val="1A2744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Montserrat" w:cs="Montserrat" w:eastAsia="Montserrat" w:hAnsi="Montserrat"/>
        <w:color w:val="1A2744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ubik" w:cs="Rubik" w:eastAsia="Rubik" w:hAnsi="Rubik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Rubik" w:cs="Rubik" w:eastAsia="Rubik" w:hAnsi="Rubik"/>
      <w:b/>
      <w:bCs/>
      <w:color w:val="1A27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Rubik" w:cs="Rubik" w:eastAsia="Rubik" w:hAnsi="Rubik"/>
      <w:b/>
      <w:bCs/>
      <w:color w:val="1A27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Rubik" w:cs="Rubik" w:eastAsia="Rubik" w:hAnsi="Rubik"/>
      <w:b/>
      <w:bCs/>
      <w:color w:val="1A27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a1fd329af969f9ad4c75b4f05a0a74ca69b2b9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a1fd329af969f9ad4c75b4f05a0a74ca69b2b9f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aa1fd329af969f9ad4c75b4f05a0a74ca69b2b9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2026-03-16T22:19:53.308Z</dcterms:created>
  <dcterms:modified xsi:type="dcterms:W3CDTF">2026-03-16T22:19:53.308Z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