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4249FB61">
      <w:r w:rsidRPr="1629ECCA" w:rsidR="1391ADFB">
        <w:rPr>
          <w:b w:val="1"/>
          <w:bCs w:val="1"/>
        </w:rPr>
        <w:t>Elaborado por:</w:t>
      </w:r>
      <w:r w:rsidR="1391ADFB">
        <w:rPr/>
        <w:t xml:space="preserve"> Jamileth Gamarra Zárate</w:t>
      </w:r>
    </w:p>
    <w:p w:rsidR="1391ADFB" w:rsidP="1629ECCA" w:rsidRDefault="1391ADFB" w14:paraId="14C18AF3" w14:textId="0E3D5A2A">
      <w:pPr>
        <w:pStyle w:val="Normal"/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1629ECCA" w:rsidR="1391ADFB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Tabla</w:t>
      </w:r>
      <w:r w:rsidRPr="1629ECCA" w:rsidR="1391ADFB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de </w:t>
      </w:r>
      <w:r w:rsidRPr="1629ECCA" w:rsidR="1391ADFB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correcciones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540"/>
        <w:gridCol w:w="1995"/>
        <w:gridCol w:w="4200"/>
        <w:gridCol w:w="2640"/>
      </w:tblGrid>
      <w:tr w:rsidR="1629ECCA" w:rsidTr="1629ECCA" w14:paraId="69503EC5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3FCF12E0" w14:textId="46E1DBE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</w:rPr>
              <w:t>#</w:t>
            </w:r>
          </w:p>
        </w:tc>
        <w:tc>
          <w:tcPr>
            <w:tcW w:w="1995" w:type="dxa"/>
            <w:tcMar/>
          </w:tcPr>
          <w:p w:rsidR="1629ECCA" w:rsidP="1629ECCA" w:rsidRDefault="1629ECCA" w14:paraId="7D2E2DC0" w14:textId="0C551DC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Defecto</w:t>
            </w:r>
          </w:p>
        </w:tc>
        <w:tc>
          <w:tcPr>
            <w:tcW w:w="4200" w:type="dxa"/>
            <w:tcMar/>
          </w:tcPr>
          <w:p w:rsidR="1629ECCA" w:rsidP="1629ECCA" w:rsidRDefault="1629ECCA" w14:paraId="6B706FC6" w14:textId="3FCF0BC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Corrección aplicada</w:t>
            </w:r>
          </w:p>
        </w:tc>
        <w:tc>
          <w:tcPr>
            <w:tcW w:w="2640" w:type="dxa"/>
            <w:tcMar/>
          </w:tcPr>
          <w:p w:rsidR="1629ECCA" w:rsidP="1629ECCA" w:rsidRDefault="1629ECCA" w14:paraId="08CE3E44" w14:textId="4C8503C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Justificación / Responsable</w:t>
            </w:r>
          </w:p>
        </w:tc>
      </w:tr>
      <w:tr w:rsidR="1629ECCA" w:rsidTr="1629ECCA" w14:paraId="3DB477A7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3FC4E487" w14:textId="5D912A7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</w:t>
            </w:r>
          </w:p>
        </w:tc>
        <w:tc>
          <w:tcPr>
            <w:tcW w:w="1995" w:type="dxa"/>
            <w:tcMar/>
          </w:tcPr>
          <w:p w:rsidR="1629ECCA" w:rsidP="1629ECCA" w:rsidRDefault="1629ECCA" w14:paraId="11BF0CA8" w14:textId="7C871ED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Web vs escritorio</w:t>
            </w:r>
          </w:p>
        </w:tc>
        <w:tc>
          <w:tcPr>
            <w:tcW w:w="4200" w:type="dxa"/>
            <w:tcMar/>
          </w:tcPr>
          <w:p w:rsidR="1629ECCA" w:rsidP="1629ECCA" w:rsidRDefault="1629ECCA" w14:paraId="08E37B7D" w14:textId="0291D69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unifica como aplicación web responsive, alineada con RF-01, RST-02 y el mockup en Figma; se elimina la mención a Windows Forms/C#.</w:t>
            </w:r>
          </w:p>
        </w:tc>
        <w:tc>
          <w:tcPr>
            <w:tcW w:w="2640" w:type="dxa"/>
            <w:tcMar/>
          </w:tcPr>
          <w:p w:rsidR="1629ECCA" w:rsidP="1629ECCA" w:rsidRDefault="1629ECCA" w14:paraId="7C589BDC" w14:textId="2764FC2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Es la versión mayoritaria y sostiene la mayoría de RF. Responsable: Jamileth.</w:t>
            </w:r>
          </w:p>
        </w:tc>
      </w:tr>
      <w:tr w:rsidR="1629ECCA" w:rsidTr="1629ECCA" w14:paraId="6DBDE068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63B7E545" w14:textId="230CD8A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D2</w:t>
            </w:r>
          </w:p>
        </w:tc>
        <w:tc>
          <w:tcPr>
            <w:tcW w:w="1995" w:type="dxa"/>
            <w:tcMar/>
          </w:tcPr>
          <w:p w:rsidR="1629ECCA" w:rsidP="1629ECCA" w:rsidRDefault="1629ECCA" w14:paraId="58AC928A" w14:textId="7156BC9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RNF vacíos</w:t>
            </w:r>
          </w:p>
        </w:tc>
        <w:tc>
          <w:tcPr>
            <w:tcW w:w="4200" w:type="dxa"/>
            <w:tcMar/>
          </w:tcPr>
          <w:p w:rsidR="1629ECCA" w:rsidP="1629ECCA" w:rsidRDefault="1629ECCA" w14:paraId="0F4331D5" w14:textId="4D6E207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redacta contenido mínimo formal en la Sección 3.3 a partir de las menciones dispersas de RNF-01 a RNF-10 en criterios de aceptación y MoSCoW.</w:t>
            </w:r>
          </w:p>
        </w:tc>
        <w:tc>
          <w:tcPr>
            <w:tcW w:w="2640" w:type="dxa"/>
            <w:tcMar/>
          </w:tcPr>
          <w:p w:rsidR="1629ECCA" w:rsidP="1629ECCA" w:rsidRDefault="1629ECCA" w14:paraId="24F12224" w14:textId="010D1EB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Cierra la brecha entre lo declarado en el Historial de Versiones y el contenido real. Responsable: Jamileth.</w:t>
            </w:r>
          </w:p>
        </w:tc>
      </w:tr>
      <w:tr w:rsidR="1629ECCA" w:rsidTr="1629ECCA" w14:paraId="1BD7DBC6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3D77D440" w14:textId="4826B4B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D3</w:t>
            </w:r>
          </w:p>
        </w:tc>
        <w:tc>
          <w:tcPr>
            <w:tcW w:w="1995" w:type="dxa"/>
            <w:tcMar/>
          </w:tcPr>
          <w:p w:rsidR="1629ECCA" w:rsidP="1629ECCA" w:rsidRDefault="1629ECCA" w14:paraId="57CA728A" w14:textId="5BDF80F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Interfaces de comunicación pendientes</w:t>
            </w:r>
          </w:p>
        </w:tc>
        <w:tc>
          <w:tcPr>
            <w:tcW w:w="4200" w:type="dxa"/>
            <w:tcMar/>
          </w:tcPr>
          <w:p w:rsidR="1629ECCA" w:rsidP="1629ECCA" w:rsidRDefault="1629ECCA" w14:paraId="165A4982" w14:textId="4B882F8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redacta contenido mínimo: interfaz HTTPS/REST cliente-servidor, integración WhatsApp Business API, referencia al protocolo de sincronización offline (RST-03/RST-06).</w:t>
            </w:r>
          </w:p>
        </w:tc>
        <w:tc>
          <w:tcPr>
            <w:tcW w:w="2640" w:type="dxa"/>
            <w:tcMar/>
          </w:tcPr>
          <w:p w:rsidR="1629ECCA" w:rsidP="1629ECCA" w:rsidRDefault="1629ECCA" w14:paraId="57C6681E" w14:textId="559A1CD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Elimina una sección "pendiente" en una entrega que se declara formal. Responsable: Jamileth.</w:t>
            </w:r>
          </w:p>
        </w:tc>
      </w:tr>
      <w:tr w:rsidR="1629ECCA" w:rsidTr="1629ECCA" w14:paraId="6181986B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3BC3BE2F" w14:textId="14854E75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D4</w:t>
            </w:r>
          </w:p>
        </w:tc>
        <w:tc>
          <w:tcPr>
            <w:tcW w:w="1995" w:type="dxa"/>
            <w:tcMar/>
          </w:tcPr>
          <w:p w:rsidR="1629ECCA" w:rsidP="1629ECCA" w:rsidRDefault="1629ECCA" w14:paraId="46B49295" w14:textId="761012B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LOPDP no definida</w:t>
            </w:r>
          </w:p>
        </w:tc>
        <w:tc>
          <w:tcPr>
            <w:tcW w:w="4200" w:type="dxa"/>
            <w:tcMar/>
          </w:tcPr>
          <w:p w:rsidR="1629ECCA" w:rsidP="1629ECCA" w:rsidRDefault="1629ECCA" w14:paraId="267B23F9" w14:textId="5CDCAC5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agrega definición de LOPDP a la Tabla 3 (Definiciones y Acrónimos) y se agrega como referencia bibliográfica formal en la lista de Referencias.</w:t>
            </w:r>
          </w:p>
        </w:tc>
        <w:tc>
          <w:tcPr>
            <w:tcW w:w="2640" w:type="dxa"/>
            <w:tcMar/>
          </w:tcPr>
          <w:p w:rsidR="1629ECCA" w:rsidP="1629ECCA" w:rsidRDefault="1629ECCA" w14:paraId="4AA92752" w14:textId="16F28CE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Cierra la trazabilidad normativa de los requisitos que dependen de ella. Responsable: Danela.</w:t>
            </w:r>
          </w:p>
        </w:tc>
      </w:tr>
      <w:tr w:rsidR="1629ECCA" w:rsidTr="1629ECCA" w14:paraId="5EC18CB5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63C31816" w14:textId="5998D55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D5 / D16</w:t>
            </w:r>
          </w:p>
        </w:tc>
        <w:tc>
          <w:tcPr>
            <w:tcW w:w="1995" w:type="dxa"/>
            <w:tcMar/>
          </w:tcPr>
          <w:p w:rsidR="1629ECCA" w:rsidP="1629ECCA" w:rsidRDefault="1629ECCA" w14:paraId="15A8B8F0" w14:textId="301FBEE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Tres versiones de la matriz de trazabilidad</w:t>
            </w:r>
          </w:p>
        </w:tc>
        <w:tc>
          <w:tcPr>
            <w:tcW w:w="4200" w:type="dxa"/>
            <w:tcMar/>
          </w:tcPr>
          <w:p w:rsidR="1629ECCA" w:rsidP="1629ECCA" w:rsidRDefault="1629ECCA" w14:paraId="04DA0924" w14:textId="08E629A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conserva únicamente la matriz nueva extendida (MoSCoW, Kano, Norma/Ley, Mockup) como matriz oficial del proyecto; se eliminan la matriz EV-01–EV-04 y la duplicación "parcial/completa" del Apéndice D.</w:t>
            </w:r>
          </w:p>
        </w:tc>
        <w:tc>
          <w:tcPr>
            <w:tcW w:w="2640" w:type="dxa"/>
            <w:tcMar/>
          </w:tcPr>
          <w:p w:rsidR="1629ECCA" w:rsidP="1629ECCA" w:rsidRDefault="1629ECCA" w14:paraId="453E73C7" w14:textId="5326E24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Es la versión más completa y evita ambigüedad sobre cuál es la vigente. Responsable: Jamileth.</w:t>
            </w:r>
          </w:p>
        </w:tc>
      </w:tr>
      <w:tr w:rsidR="1629ECCA" w:rsidTr="1629ECCA" w14:paraId="46D7A69E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3110D6DD" w14:textId="6720CEE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D6</w:t>
            </w:r>
          </w:p>
        </w:tc>
        <w:tc>
          <w:tcPr>
            <w:tcW w:w="1995" w:type="dxa"/>
            <w:tcMar/>
          </w:tcPr>
          <w:p w:rsidR="1629ECCA" w:rsidP="1629ECCA" w:rsidRDefault="1629ECCA" w14:paraId="01E92424" w14:textId="67555E7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RF-22/RF-23 duplicados</w:t>
            </w:r>
          </w:p>
        </w:tc>
        <w:tc>
          <w:tcPr>
            <w:tcW w:w="4200" w:type="dxa"/>
            <w:tcMar/>
          </w:tcPr>
          <w:p w:rsidR="1629ECCA" w:rsidP="1629ECCA" w:rsidRDefault="1629ECCA" w14:paraId="38BEEF89" w14:textId="1EC5AAA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adopta la numeración de la Sección 5 (fuente con trazabilidad verificada): RF-22 = Bajo costo, RF-23 = Perfiles de usuario.</w:t>
            </w:r>
          </w:p>
        </w:tc>
        <w:tc>
          <w:tcPr>
            <w:tcW w:w="2640" w:type="dxa"/>
            <w:tcMar/>
          </w:tcPr>
          <w:p w:rsidR="1629ECCA" w:rsidP="1629ECCA" w:rsidRDefault="1629ECCA" w14:paraId="340C183F" w14:textId="522E0EE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La matriz de trazabilidad tiene cobertura verificada del 100%. Responsable: Jamileth.</w:t>
            </w:r>
          </w:p>
        </w:tc>
      </w:tr>
      <w:tr w:rsidR="1629ECCA" w:rsidTr="1629ECCA" w14:paraId="7AA54EB3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25651430" w14:textId="563002F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D7</w:t>
            </w:r>
          </w:p>
        </w:tc>
        <w:tc>
          <w:tcPr>
            <w:tcW w:w="1995" w:type="dxa"/>
            <w:tcMar/>
          </w:tcPr>
          <w:p w:rsidR="1629ECCA" w:rsidP="1629ECCA" w:rsidRDefault="1629ECCA" w14:paraId="046EDCA6" w14:textId="4C55DF7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Total de RF ambiguo</w:t>
            </w:r>
          </w:p>
        </w:tc>
        <w:tc>
          <w:tcPr>
            <w:tcW w:w="4200" w:type="dxa"/>
            <w:tcMar/>
          </w:tcPr>
          <w:p w:rsidR="1629ECCA" w:rsidP="1629ECCA" w:rsidRDefault="1629ECCA" w14:paraId="07F677D2" w14:textId="4B06728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corrige el resumen de la Sec. 3.2 a "24 RF (RF-01 a RF-24)".</w:t>
            </w:r>
          </w:p>
        </w:tc>
        <w:tc>
          <w:tcPr>
            <w:tcW w:w="2640" w:type="dxa"/>
            <w:tcMar/>
          </w:tcPr>
          <w:p w:rsidR="1629ECCA" w:rsidP="1629ECCA" w:rsidRDefault="1629ECCA" w14:paraId="21B5F94C" w14:textId="3C7321B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Consistente con Tabla 12 y la matriz de trazabilidad. Responsable: Jamileth.</w:t>
            </w:r>
          </w:p>
        </w:tc>
      </w:tr>
      <w:tr w:rsidR="1629ECCA" w:rsidTr="1629ECCA" w14:paraId="62D0CD98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65590331" w14:textId="44425EB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D8</w:t>
            </w:r>
          </w:p>
        </w:tc>
        <w:tc>
          <w:tcPr>
            <w:tcW w:w="1995" w:type="dxa"/>
            <w:tcMar/>
          </w:tcPr>
          <w:p w:rsidR="1629ECCA" w:rsidP="1629ECCA" w:rsidRDefault="1629ECCA" w14:paraId="7B853C7B" w14:textId="35DDF87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Restricciones duplicadas</w:t>
            </w:r>
          </w:p>
        </w:tc>
        <w:tc>
          <w:tcPr>
            <w:tcW w:w="4200" w:type="dxa"/>
            <w:tcMar/>
          </w:tcPr>
          <w:p w:rsidR="1629ECCA" w:rsidP="1629ECCA" w:rsidRDefault="1629ECCA" w14:paraId="110B2B38" w14:textId="47840E5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fusionan en un solo catálogo de 9 restricciones (versión de la Sec. 3.4), eliminando el catálogo corto del Apéndice C.2.</w:t>
            </w:r>
          </w:p>
        </w:tc>
        <w:tc>
          <w:tcPr>
            <w:tcW w:w="2640" w:type="dxa"/>
            <w:tcMar/>
          </w:tcPr>
          <w:p w:rsidR="1629ECCA" w:rsidP="1629ECCA" w:rsidRDefault="1629ECCA" w14:paraId="65B4F04F" w14:textId="3240BD02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Evita pérdida de información. Responsable: Danela.</w:t>
            </w:r>
          </w:p>
        </w:tc>
      </w:tr>
      <w:tr w:rsidR="1629ECCA" w:rsidTr="1629ECCA" w14:paraId="4610AFFF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696DEDC0" w14:textId="595C5DF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D9</w:t>
            </w:r>
          </w:p>
        </w:tc>
        <w:tc>
          <w:tcPr>
            <w:tcW w:w="1995" w:type="dxa"/>
            <w:tcMar/>
          </w:tcPr>
          <w:p w:rsidR="1629ECCA" w:rsidP="1629ECCA" w:rsidRDefault="1629ECCA" w14:paraId="6ED0D3BE" w14:textId="6A7374F5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Motor de BD inconsistente</w:t>
            </w:r>
          </w:p>
        </w:tc>
        <w:tc>
          <w:tcPr>
            <w:tcW w:w="4200" w:type="dxa"/>
            <w:tcMar/>
          </w:tcPr>
          <w:p w:rsidR="1629ECCA" w:rsidP="1629ECCA" w:rsidRDefault="1629ECCA" w14:paraId="0FC3D069" w14:textId="555793F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define MySQL como motor oficial en las tres secciones.</w:t>
            </w:r>
          </w:p>
        </w:tc>
        <w:tc>
          <w:tcPr>
            <w:tcW w:w="2640" w:type="dxa"/>
            <w:tcMar/>
          </w:tcPr>
          <w:p w:rsidR="1629ECCA" w:rsidP="1629ECCA" w:rsidRDefault="1629ECCA" w14:paraId="2CBDF4FE" w14:textId="771C7AD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Es la opción mencionada primero y no reduce alcance funcional. Responsable: Jamileth.</w:t>
            </w:r>
          </w:p>
        </w:tc>
      </w:tr>
      <w:tr w:rsidR="1629ECCA" w:rsidTr="1629ECCA" w14:paraId="2F68C33C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19AECF5A" w14:textId="56B0611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D10</w:t>
            </w:r>
          </w:p>
        </w:tc>
        <w:tc>
          <w:tcPr>
            <w:tcW w:w="1995" w:type="dxa"/>
            <w:tcMar/>
          </w:tcPr>
          <w:p w:rsidR="1629ECCA" w:rsidP="1629ECCA" w:rsidRDefault="1629ECCA" w14:paraId="69ACF1FB" w14:textId="295C36C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Actor Cliente no caracterizado</w:t>
            </w:r>
          </w:p>
        </w:tc>
        <w:tc>
          <w:tcPr>
            <w:tcW w:w="4200" w:type="dxa"/>
            <w:tcMar/>
          </w:tcPr>
          <w:p w:rsidR="1629ECCA" w:rsidP="1629ECCA" w:rsidRDefault="1629ECCA" w14:paraId="6DB4C7E1" w14:textId="5CCC092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agrega "Dueño de mascota" a la Tabla 5 (Sec. 2.3) y a la Tabla 6, mapa de stakeholders (Sec. 2.4).</w:t>
            </w:r>
          </w:p>
        </w:tc>
        <w:tc>
          <w:tcPr>
            <w:tcW w:w="2640" w:type="dxa"/>
            <w:tcMar/>
          </w:tcPr>
          <w:p w:rsidR="1629ECCA" w:rsidP="1629ECCA" w:rsidRDefault="1629ECCA" w14:paraId="117353C0" w14:textId="46B82C52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Cierra la brecha entre modelado UML y descripción de usuarios/stakeholders. Responsable: Jamileth.</w:t>
            </w:r>
          </w:p>
        </w:tc>
      </w:tr>
      <w:tr w:rsidR="1629ECCA" w:rsidTr="1629ECCA" w14:paraId="6863089A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33B40AFA" w14:textId="0BFFD16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D11</w:t>
            </w:r>
          </w:p>
        </w:tc>
        <w:tc>
          <w:tcPr>
            <w:tcW w:w="1995" w:type="dxa"/>
            <w:tcMar/>
          </w:tcPr>
          <w:p w:rsidR="1629ECCA" w:rsidP="1629ECCA" w:rsidRDefault="1629ECCA" w14:paraId="2DC52341" w14:textId="0EE4D99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Tercera entrevista no integrada</w:t>
            </w:r>
          </w:p>
        </w:tc>
        <w:tc>
          <w:tcPr>
            <w:tcW w:w="4200" w:type="dxa"/>
            <w:tcMar/>
          </w:tcPr>
          <w:p w:rsidR="1629ECCA" w:rsidP="1629ECCA" w:rsidRDefault="1629ECCA" w14:paraId="65F39F38" w14:textId="5A42A992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agrega formalmente la evidencia EV-05 y se deriva al menos un requisito crudo nuevo de los hallazgos de la Dra. Itaty Perero.</w:t>
            </w:r>
          </w:p>
        </w:tc>
        <w:tc>
          <w:tcPr>
            <w:tcW w:w="2640" w:type="dxa"/>
            <w:tcMar/>
          </w:tcPr>
          <w:p w:rsidR="1629ECCA" w:rsidP="1629ECCA" w:rsidRDefault="1629ECCA" w14:paraId="7FFA3410" w14:textId="1AD135F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Evita que el trabajo de campo realizado se pierda sin uso. Responsable: Jhon.</w:t>
            </w:r>
          </w:p>
        </w:tc>
      </w:tr>
      <w:tr w:rsidR="1629ECCA" w:rsidTr="1629ECCA" w14:paraId="5C383F67">
        <w:trPr>
          <w:trHeight w:val="300"/>
        </w:trPr>
        <w:tc>
          <w:tcPr>
            <w:tcW w:w="540" w:type="dxa"/>
            <w:tcMar/>
          </w:tcPr>
          <w:p w:rsidR="1629ECCA" w:rsidP="1629ECCA" w:rsidRDefault="1629ECCA" w14:paraId="4247EF1D" w14:textId="6E01FFA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D13</w:t>
            </w:r>
          </w:p>
        </w:tc>
        <w:tc>
          <w:tcPr>
            <w:tcW w:w="1995" w:type="dxa"/>
            <w:tcMar/>
          </w:tcPr>
          <w:p w:rsidR="1629ECCA" w:rsidP="1629ECCA" w:rsidRDefault="1629ECCA" w14:paraId="0193FFDE" w14:textId="7030162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Ambigüedad flujo de cobro</w:t>
            </w:r>
          </w:p>
        </w:tc>
        <w:tc>
          <w:tcPr>
            <w:tcW w:w="4200" w:type="dxa"/>
            <w:tcMar/>
          </w:tcPr>
          <w:p w:rsidR="1629ECCA" w:rsidP="1629ECCA" w:rsidRDefault="1629ECCA" w14:paraId="04915A90" w14:textId="6AEDB31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agrega nota aclaratoria vinculando RF-08 con la pantalla "Facturación y Cobro" explícitamente.</w:t>
            </w:r>
          </w:p>
        </w:tc>
        <w:tc>
          <w:tcPr>
            <w:tcW w:w="2640" w:type="dxa"/>
            <w:tcMar/>
          </w:tcPr>
          <w:p w:rsidR="1629ECCA" w:rsidP="1629ECCA" w:rsidRDefault="1629ECCA" w14:paraId="7047E0B8" w14:textId="71C7E56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629ECCA" w:rsidR="1629ECC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Corrige la referencia cruzada incorrecta con "Registro de Consulta". Responsable: Jhon.</w:t>
            </w:r>
          </w:p>
        </w:tc>
      </w:tr>
    </w:tbl>
    <w:p w:rsidR="647BDE97" w:rsidP="1629ECCA" w:rsidRDefault="647BDE97" w14:paraId="657FA748" w14:textId="238D056F">
      <w:pPr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629ECCA" w:rsidR="647BDE97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Defectos menores no corregidos en esta iteración (justificación): D12, D14, D15, D17 y D18 se documentan como observaciones para la siguiente versión del ERS, ya que no comprometen la funcionalidad ni la trazabilidad del sistema en su estado actual.</w:t>
      </w:r>
    </w:p>
    <w:p w:rsidR="1629ECCA" w:rsidRDefault="1629ECCA" w14:paraId="5E31E516" w14:textId="0BC60CB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33B68"/>
    <w:rsid w:val="0233D1F6"/>
    <w:rsid w:val="1391ADFB"/>
    <w:rsid w:val="1629ECCA"/>
    <w:rsid w:val="647BDE97"/>
    <w:rsid w:val="6B53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A87E"/>
  <w15:chartTrackingRefBased/>
  <w15:docId w15:val="{BFA7A8B1-53AB-48A2-8F3A-7B54551EE1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2026-08-06T03:21:00.0986272Z</dcterms:created>
  <dcterms:modified xsi:type="dcterms:W3CDTF">2026-08-06T03:22:47.7481065Z</dcterms:modified>
  <dc:creator>GAMARRA ZARATE  JAMILETH ESTEFANIA</dc:creator>
  <lastModifiedBy>GAMARRA ZARATE  JAMILETH ESTEFANIA</lastModifiedBy>
</coreProperties>
</file>