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467F"/>
          <w:sz w:val="44"/>
        </w:rPr>
        <w:t>HK Flu Ensemble (HK-FluEns)</w:t>
      </w:r>
    </w:p>
    <w:p>
      <w:pPr>
        <w:jc w:val="center"/>
      </w:pPr>
      <w:r>
        <w:rPr>
          <w:color w:val="1F497D"/>
          <w:sz w:val="28"/>
        </w:rPr>
        <w:t>Planning, Architecture &amp; Implementation Roadmap</w:t>
      </w:r>
    </w:p>
    <w:p>
      <w:pPr>
        <w:jc w:val="center"/>
      </w:pPr>
      <w:r>
        <w:rPr>
          <w:i/>
          <w:color w:val="595959"/>
          <w:sz w:val="22"/>
        </w:rPr>
        <w:t>Hong Kong Influenza Forecasting Network — Pre-Implementation Assessment</w:t>
      </w:r>
    </w:p>
    <w:p/>
    <w:p>
      <w:pPr>
        <w:jc w:val="center"/>
      </w:pPr>
      <w:r>
        <w:rPr>
          <w:color w:val="7F7F7F"/>
          <w:sz w:val="20"/>
        </w:rPr>
        <w:t>Prepared for: Parth Singh   |   Date: March 2026   |   Status: Planning Phase</w:t>
      </w:r>
    </w:p>
    <w:p>
      <w:pPr>
        <w:spacing w:before="80" w:after="80"/>
        <w:pBdr>
          <w:bottom w:val="single" w:sz="6" w:space="1" w:color="1F4978"/>
        </w:pBdr>
      </w:pPr>
    </w:p>
    <w:p/>
    <w:p>
      <w:pPr>
        <w:pStyle w:val="Heading1"/>
        <w:spacing w:before="360" w:after="120"/>
      </w:pPr>
      <w:r>
        <w:rPr>
          <w:b/>
          <w:color w:val="00467F"/>
          <w:sz w:val="32"/>
        </w:rPr>
        <w:t>1. Executive Summary</w:t>
      </w:r>
    </w:p>
    <w:p>
      <w:pPr>
        <w:spacing w:after="120" w:before="0"/>
      </w:pPr>
      <w:r>
        <w:rPr>
          <w:sz w:val="22"/>
        </w:rPr>
        <w:t>This document provides the full pre-implementation planning package for HK-FluEns, a Hong Kong influenza forecasting network modelled structurally on the CDC FluSight network but adapted to Hong Kong's unique epidemiological, climatic, and data-infrastructure context. It covers four deliverables: (1) an assessment of the existing codebase in Flu_Forecast_HK_2026-27_Updated_20260318; (2) a phased implementation roadmap with realistic timelines and dependencies; (3) a complete system architecture; and (4) a risk register with mitigations and open decision points that must be resolved before coding begins.</w:t>
      </w:r>
    </w:p>
    <w:p>
      <w:pPr>
        <w:spacing w:after="120" w:before="0"/>
      </w:pPr>
      <w:r>
        <w:rPr>
          <w:sz w:val="22"/>
        </w:rPr>
        <w:t>The existing project is a well-structured practicum pipeline producing a three-model ensemble (SARIMA + ETS(A,A,A) + Historical Benchmark) for a narrative review paper. It represents a strong analytical foundation. However, transitioning it to HK-FluEns requires substantial architectural expansion: moving from a single-researcher script pipeline to a hub-and-spoke forecasting network with standardised probabilistic output, automated data ingestion, and a governance structure for multi-institutional participation.</w:t>
      </w:r>
    </w:p>
    <w:tbl>
      <w:tblPr>
        <w:tblW w:type="auto" w:w="0"/>
        <w:jc w:val="left"/>
        <w:tblLook w:firstColumn="1" w:firstRow="1" w:lastColumn="0" w:lastRow="0" w:noHBand="0" w:noVBand="1" w:val="04A0"/>
      </w:tblPr>
      <w:tblGrid>
        <w:gridCol w:w="9360"/>
      </w:tblGrid>
      <w:tr>
        <w:tc>
          <w:tcPr>
            <w:tcW w:type="dxa" w:w="9360"/>
            <w:shd w:val="clear" w:color="auto" w:fill="FFF3CD"/>
          </w:tcPr>
          <w:p>
            <w:pPr>
              <w:spacing w:before="80" w:after="80"/>
            </w:pPr>
            <w:r>
              <w:rPr>
                <w:b/>
                <w:sz w:val="20"/>
              </w:rPr>
              <w:t xml:space="preserve">⚠  Critical Finding:  </w:t>
            </w:r>
            <w:r>
              <w:rPr>
                <w:sz w:val="20"/>
              </w:rPr>
              <w:t>Key finding: Two of eight scripts (07-ensemble_model.py and 08-ensemble_evaluation.py) are fully production-quality and directly reusable. Scripts 01-06 are stub files — their outputs exist in the repository but the implementation code was not committed. These stubs must be reconstructed as the foundation of Phase 0.</w:t>
            </w:r>
          </w:p>
        </w:tc>
      </w:tr>
    </w:tbl>
    <w:p>
      <w:pPr>
        <w:spacing w:after="80"/>
      </w:pPr>
    </w:p>
    <w:p>
      <w:pPr>
        <w:pStyle w:val="Heading1"/>
        <w:spacing w:before="360" w:after="120"/>
      </w:pPr>
      <w:r>
        <w:rPr>
          <w:b/>
          <w:color w:val="00467F"/>
          <w:sz w:val="32"/>
        </w:rPr>
        <w:t>2. Existing Code Assessment</w:t>
      </w:r>
    </w:p>
    <w:p>
      <w:pPr>
        <w:spacing w:after="120" w:before="0"/>
      </w:pPr>
      <w:r>
        <w:rPr>
          <w:sz w:val="22"/>
        </w:rPr>
        <w:t>The folder Flu_Forecast_HK_2026-27_Updated_20260318 contains 8 numbered scripts, processed and raw data, model outputs, figures, and documentation. The assessment below examines each component and renders a verdict of Retain, Modify, or Rebuild.</w:t>
      </w:r>
    </w:p>
    <w:p>
      <w:pPr>
        <w:pStyle w:val="Heading2"/>
        <w:spacing w:before="240" w:after="80"/>
      </w:pPr>
      <w:r>
        <w:rPr>
          <w:b/>
          <w:color w:val="1F497D"/>
          <w:sz w:val="26"/>
        </w:rPr>
        <w:t>2.1  What Exists — Inventory Summary</w:t>
      </w:r>
    </w:p>
    <w:tbl>
      <w:tblPr>
        <w:tblStyle w:val="TableGrid"/>
        <w:tblW w:type="auto" w:w="0"/>
        <w:jc w:val="left"/>
        <w:tblLook w:firstColumn="1" w:firstRow="1" w:lastColumn="0" w:lastRow="0" w:noHBand="0" w:noVBand="1" w:val="04A0"/>
      </w:tblPr>
      <w:tblGrid>
        <w:gridCol w:w="3168"/>
        <w:gridCol w:w="4320"/>
        <w:gridCol w:w="2592"/>
      </w:tblGrid>
      <w:tr>
        <w:tc>
          <w:tcPr>
            <w:tcW w:type="dxa" w:w="3168"/>
            <w:shd w:val="clear" w:color="auto" w:fill="1F4978"/>
          </w:tcPr>
          <w:p>
            <w:pPr>
              <w:spacing w:before="60" w:after="60"/>
              <w:jc w:val="left"/>
            </w:pPr>
            <w:r>
              <w:rPr>
                <w:b/>
                <w:color w:val="FFFFFF"/>
                <w:sz w:val="20"/>
              </w:rPr>
              <w:t>Component</w:t>
            </w:r>
          </w:p>
        </w:tc>
        <w:tc>
          <w:tcPr>
            <w:tcW w:type="dxa" w:w="4320"/>
            <w:shd w:val="clear" w:color="auto" w:fill="1F4978"/>
          </w:tcPr>
          <w:p>
            <w:pPr>
              <w:spacing w:before="60" w:after="60"/>
              <w:jc w:val="left"/>
            </w:pPr>
            <w:r>
              <w:rPr>
                <w:b/>
                <w:color w:val="FFFFFF"/>
                <w:sz w:val="20"/>
              </w:rPr>
              <w:t>Description</w:t>
            </w:r>
          </w:p>
        </w:tc>
        <w:tc>
          <w:tcPr>
            <w:tcW w:type="dxa" w:w="2592"/>
            <w:shd w:val="clear" w:color="auto" w:fill="1F4978"/>
          </w:tcPr>
          <w:p>
            <w:pPr>
              <w:spacing w:before="60" w:after="60"/>
              <w:jc w:val="left"/>
            </w:pPr>
            <w:r>
              <w:rPr>
                <w:b/>
                <w:color w:val="FFFFFF"/>
                <w:sz w:val="20"/>
              </w:rPr>
              <w:t>Status</w:t>
            </w:r>
          </w:p>
        </w:tc>
      </w:tr>
      <w:tr>
        <w:tc>
          <w:tcPr>
            <w:tcW w:type="dxa" w:w="3168"/>
            <w:shd w:val="clear" w:color="auto" w:fill="FFFFFF"/>
          </w:tcPr>
          <w:p>
            <w:pPr>
              <w:spacing w:before="40" w:after="40"/>
              <w:jc w:val="left"/>
            </w:pPr>
            <w:r>
              <w:rPr>
                <w:sz w:val="20"/>
              </w:rPr>
              <w:t>scripts/01_data_preparation.py</w:t>
            </w:r>
          </w:p>
        </w:tc>
        <w:tc>
          <w:tcPr>
            <w:tcW w:type="dxa" w:w="4320"/>
            <w:shd w:val="clear" w:color="auto" w:fill="FFFFFF"/>
          </w:tcPr>
          <w:p>
            <w:pPr>
              <w:spacing w:before="40" w:after="40"/>
              <w:jc w:val="left"/>
            </w:pPr>
            <w:r>
              <w:rPr>
                <w:sz w:val="20"/>
              </w:rPr>
              <w:t>Loads CHP Excel, computes ILI+, COVID gap fill, log-transform</w:t>
            </w:r>
          </w:p>
        </w:tc>
        <w:tc>
          <w:tcPr>
            <w:tcW w:type="dxa" w:w="2592"/>
            <w:shd w:val="clear" w:color="auto" w:fill="FFFFFF"/>
          </w:tcPr>
          <w:p>
            <w:pPr>
              <w:spacing w:before="40" w:after="40"/>
              <w:jc w:val="left"/>
            </w:pPr>
            <w:r>
              <w:rPr>
                <w:sz w:val="20"/>
              </w:rPr>
              <w:t>STUB — outputs exist, code not committed</w:t>
            </w:r>
          </w:p>
        </w:tc>
      </w:tr>
      <w:tr>
        <w:tc>
          <w:tcPr>
            <w:tcW w:type="dxa" w:w="3168"/>
            <w:shd w:val="clear" w:color="auto" w:fill="EBF3FB"/>
          </w:tcPr>
          <w:p>
            <w:pPr>
              <w:spacing w:before="40" w:after="40"/>
              <w:jc w:val="left"/>
            </w:pPr>
            <w:r>
              <w:rPr>
                <w:sz w:val="20"/>
              </w:rPr>
              <w:t>scripts/02_stationarity_acf_pacf.py</w:t>
            </w:r>
          </w:p>
        </w:tc>
        <w:tc>
          <w:tcPr>
            <w:tcW w:type="dxa" w:w="4320"/>
            <w:shd w:val="clear" w:color="auto" w:fill="EBF3FB"/>
          </w:tcPr>
          <w:p>
            <w:pPr>
              <w:spacing w:before="40" w:after="40"/>
              <w:jc w:val="left"/>
            </w:pPr>
            <w:r>
              <w:rPr>
                <w:sz w:val="20"/>
              </w:rPr>
              <w:t>ADF test, ACF/PACF, order selection</w:t>
            </w:r>
          </w:p>
        </w:tc>
        <w:tc>
          <w:tcPr>
            <w:tcW w:type="dxa" w:w="2592"/>
            <w:shd w:val="clear" w:color="auto" w:fill="EBF3FB"/>
          </w:tcPr>
          <w:p>
            <w:pPr>
              <w:spacing w:before="40" w:after="40"/>
              <w:jc w:val="left"/>
            </w:pPr>
            <w:r>
              <w:rPr>
                <w:sz w:val="20"/>
              </w:rPr>
              <w:t>STUB — figures exist, code not committed</w:t>
            </w:r>
          </w:p>
        </w:tc>
      </w:tr>
      <w:tr>
        <w:tc>
          <w:tcPr>
            <w:tcW w:type="dxa" w:w="3168"/>
            <w:shd w:val="clear" w:color="auto" w:fill="FFFFFF"/>
          </w:tcPr>
          <w:p>
            <w:pPr>
              <w:spacing w:before="40" w:after="40"/>
              <w:jc w:val="left"/>
            </w:pPr>
            <w:r>
              <w:rPr>
                <w:sz w:val="20"/>
              </w:rPr>
              <w:t>scripts/03_model_fitting.py</w:t>
            </w:r>
          </w:p>
        </w:tc>
        <w:tc>
          <w:tcPr>
            <w:tcW w:type="dxa" w:w="4320"/>
            <w:shd w:val="clear" w:color="auto" w:fill="FFFFFF"/>
          </w:tcPr>
          <w:p>
            <w:pPr>
              <w:spacing w:before="40" w:after="40"/>
              <w:jc w:val="left"/>
            </w:pPr>
            <w:r>
              <w:rPr>
                <w:sz w:val="20"/>
              </w:rPr>
              <w:t>Fits 9 SARIMA candidates, selects by AIC/BIC</w:t>
            </w:r>
          </w:p>
        </w:tc>
        <w:tc>
          <w:tcPr>
            <w:tcW w:type="dxa" w:w="2592"/>
            <w:shd w:val="clear" w:color="auto" w:fill="FFFFFF"/>
          </w:tcPr>
          <w:p>
            <w:pPr>
              <w:spacing w:before="40" w:after="40"/>
              <w:jc w:val="left"/>
            </w:pPr>
            <w:r>
              <w:rPr>
                <w:sz w:val="20"/>
              </w:rPr>
              <w:t>STUB — model_coefficients.json exists</w:t>
            </w:r>
          </w:p>
        </w:tc>
      </w:tr>
      <w:tr>
        <w:tc>
          <w:tcPr>
            <w:tcW w:type="dxa" w:w="3168"/>
            <w:shd w:val="clear" w:color="auto" w:fill="EBF3FB"/>
          </w:tcPr>
          <w:p>
            <w:pPr>
              <w:spacing w:before="40" w:after="40"/>
              <w:jc w:val="left"/>
            </w:pPr>
            <w:r>
              <w:rPr>
                <w:sz w:val="20"/>
              </w:rPr>
              <w:t>scripts/04_residual_diagnostics.py</w:t>
            </w:r>
          </w:p>
        </w:tc>
        <w:tc>
          <w:tcPr>
            <w:tcW w:type="dxa" w:w="4320"/>
            <w:shd w:val="clear" w:color="auto" w:fill="EBF3FB"/>
          </w:tcPr>
          <w:p>
            <w:pPr>
              <w:spacing w:before="40" w:after="40"/>
              <w:jc w:val="left"/>
            </w:pPr>
            <w:r>
              <w:rPr>
                <w:sz w:val="20"/>
              </w:rPr>
              <w:t>Ljung-Box, Shapiro-Wilk, 2×2 diagnostic panel</w:t>
            </w:r>
          </w:p>
        </w:tc>
        <w:tc>
          <w:tcPr>
            <w:tcW w:type="dxa" w:w="2592"/>
            <w:shd w:val="clear" w:color="auto" w:fill="EBF3FB"/>
          </w:tcPr>
          <w:p>
            <w:pPr>
              <w:spacing w:before="40" w:after="40"/>
              <w:jc w:val="left"/>
            </w:pPr>
            <w:r>
              <w:rPr>
                <w:sz w:val="20"/>
              </w:rPr>
              <w:t>STUB — figures exist</w:t>
            </w:r>
          </w:p>
        </w:tc>
      </w:tr>
      <w:tr>
        <w:tc>
          <w:tcPr>
            <w:tcW w:type="dxa" w:w="3168"/>
            <w:shd w:val="clear" w:color="auto" w:fill="FFFFFF"/>
          </w:tcPr>
          <w:p>
            <w:pPr>
              <w:spacing w:before="40" w:after="40"/>
              <w:jc w:val="left"/>
            </w:pPr>
            <w:r>
              <w:rPr>
                <w:sz w:val="20"/>
              </w:rPr>
              <w:t>scripts/05_forecast_generation.py</w:t>
            </w:r>
          </w:p>
        </w:tc>
        <w:tc>
          <w:tcPr>
            <w:tcW w:type="dxa" w:w="4320"/>
            <w:shd w:val="clear" w:color="auto" w:fill="FFFFFF"/>
          </w:tcPr>
          <w:p>
            <w:pPr>
              <w:spacing w:before="40" w:after="40"/>
              <w:jc w:val="left"/>
            </w:pPr>
            <w:r>
              <w:rPr>
                <w:sz w:val="20"/>
              </w:rPr>
              <w:t>Bootstrap PI (n=600), 78-/104-week forecast</w:t>
            </w:r>
          </w:p>
        </w:tc>
        <w:tc>
          <w:tcPr>
            <w:tcW w:type="dxa" w:w="2592"/>
            <w:shd w:val="clear" w:color="auto" w:fill="FFFFFF"/>
          </w:tcPr>
          <w:p>
            <w:pPr>
              <w:spacing w:before="40" w:after="40"/>
              <w:jc w:val="left"/>
            </w:pPr>
            <w:r>
              <w:rPr>
                <w:sz w:val="20"/>
              </w:rPr>
              <w:t>STUB — forecast CSVs exist</w:t>
            </w:r>
          </w:p>
        </w:tc>
      </w:tr>
      <w:tr>
        <w:tc>
          <w:tcPr>
            <w:tcW w:type="dxa" w:w="3168"/>
            <w:shd w:val="clear" w:color="auto" w:fill="EBF3FB"/>
          </w:tcPr>
          <w:p>
            <w:pPr>
              <w:spacing w:before="40" w:after="40"/>
              <w:jc w:val="left"/>
            </w:pPr>
            <w:r>
              <w:rPr>
                <w:sz w:val="20"/>
              </w:rPr>
              <w:t>scripts/06_figures_and_narrative.py</w:t>
            </w:r>
          </w:p>
        </w:tc>
        <w:tc>
          <w:tcPr>
            <w:tcW w:type="dxa" w:w="4320"/>
            <w:shd w:val="clear" w:color="auto" w:fill="EBF3FB"/>
          </w:tcPr>
          <w:p>
            <w:pPr>
              <w:spacing w:before="40" w:after="40"/>
              <w:jc w:val="left"/>
            </w:pPr>
            <w:r>
              <w:rPr>
                <w:sz w:val="20"/>
              </w:rPr>
              <w:t>Publication figures, narrative text generation</w:t>
            </w:r>
          </w:p>
        </w:tc>
        <w:tc>
          <w:tcPr>
            <w:tcW w:type="dxa" w:w="2592"/>
            <w:shd w:val="clear" w:color="auto" w:fill="EBF3FB"/>
          </w:tcPr>
          <w:p>
            <w:pPr>
              <w:spacing w:before="40" w:after="40"/>
              <w:jc w:val="left"/>
            </w:pPr>
            <w:r>
              <w:rPr>
                <w:sz w:val="20"/>
              </w:rPr>
              <w:t>STUB — figures exist</w:t>
            </w:r>
          </w:p>
        </w:tc>
      </w:tr>
      <w:tr>
        <w:tc>
          <w:tcPr>
            <w:tcW w:type="dxa" w:w="3168"/>
            <w:shd w:val="clear" w:color="auto" w:fill="FFFFFF"/>
          </w:tcPr>
          <w:p>
            <w:pPr>
              <w:spacing w:before="40" w:after="40"/>
              <w:jc w:val="left"/>
            </w:pPr>
            <w:r>
              <w:rPr>
                <w:sz w:val="20"/>
              </w:rPr>
              <w:t>scripts/07_ensemble_model.py</w:t>
            </w:r>
          </w:p>
        </w:tc>
        <w:tc>
          <w:tcPr>
            <w:tcW w:type="dxa" w:w="4320"/>
            <w:shd w:val="clear" w:color="auto" w:fill="FFFFFF"/>
          </w:tcPr>
          <w:p>
            <w:pPr>
              <w:spacing w:before="40" w:after="40"/>
              <w:jc w:val="left"/>
            </w:pPr>
            <w:r>
              <w:rPr>
                <w:sz w:val="20"/>
              </w:rPr>
              <w:t>ETS(A,A,A) from scratch, 3-model ensemble, strain multiplier</w:t>
            </w:r>
          </w:p>
        </w:tc>
        <w:tc>
          <w:tcPr>
            <w:tcW w:type="dxa" w:w="2592"/>
            <w:shd w:val="clear" w:color="auto" w:fill="FFFFFF"/>
          </w:tcPr>
          <w:p>
            <w:pPr>
              <w:spacing w:before="40" w:after="40"/>
              <w:jc w:val="left"/>
            </w:pPr>
            <w:r>
              <w:rPr>
                <w:sz w:val="20"/>
              </w:rPr>
              <w:t>FULLY IMPLEMENTED — production quality</w:t>
            </w:r>
          </w:p>
        </w:tc>
      </w:tr>
      <w:tr>
        <w:tc>
          <w:tcPr>
            <w:tcW w:type="dxa" w:w="3168"/>
            <w:shd w:val="clear" w:color="auto" w:fill="EBF3FB"/>
          </w:tcPr>
          <w:p>
            <w:pPr>
              <w:spacing w:before="40" w:after="40"/>
              <w:jc w:val="left"/>
            </w:pPr>
            <w:r>
              <w:rPr>
                <w:sz w:val="20"/>
              </w:rPr>
              <w:t>scripts/08_ensemble_evaluation.py</w:t>
            </w:r>
          </w:p>
        </w:tc>
        <w:tc>
          <w:tcPr>
            <w:tcW w:type="dxa" w:w="4320"/>
            <w:shd w:val="clear" w:color="auto" w:fill="EBF3FB"/>
          </w:tcPr>
          <w:p>
            <w:pPr>
              <w:spacing w:before="40" w:after="40"/>
              <w:jc w:val="left"/>
            </w:pPr>
            <w:r>
              <w:rPr>
                <w:sz w:val="20"/>
              </w:rPr>
              <w:t>Rolling-origin CV, acceptance criterion, bar charts</w:t>
            </w:r>
          </w:p>
        </w:tc>
        <w:tc>
          <w:tcPr>
            <w:tcW w:type="dxa" w:w="2592"/>
            <w:shd w:val="clear" w:color="auto" w:fill="EBF3FB"/>
          </w:tcPr>
          <w:p>
            <w:pPr>
              <w:spacing w:before="40" w:after="40"/>
              <w:jc w:val="left"/>
            </w:pPr>
            <w:r>
              <w:rPr>
                <w:sz w:val="20"/>
              </w:rPr>
              <w:t>FULLY IMPLEMENTED — production quality</w:t>
            </w:r>
          </w:p>
        </w:tc>
      </w:tr>
      <w:tr>
        <w:tc>
          <w:tcPr>
            <w:tcW w:type="dxa" w:w="3168"/>
            <w:shd w:val="clear" w:color="auto" w:fill="FFFFFF"/>
          </w:tcPr>
          <w:p>
            <w:pPr>
              <w:spacing w:before="40" w:after="40"/>
              <w:jc w:val="left"/>
            </w:pPr>
            <w:r>
              <w:rPr>
                <w:sz w:val="20"/>
              </w:rPr>
              <w:t>data/raw/raw_chp_weekly.xlsx</w:t>
            </w:r>
          </w:p>
        </w:tc>
        <w:tc>
          <w:tcPr>
            <w:tcW w:type="dxa" w:w="4320"/>
            <w:shd w:val="clear" w:color="auto" w:fill="FFFFFF"/>
          </w:tcPr>
          <w:p>
            <w:pPr>
              <w:spacing w:before="40" w:after="40"/>
              <w:jc w:val="left"/>
            </w:pPr>
            <w:r>
              <w:rPr>
                <w:sz w:val="20"/>
              </w:rPr>
              <w:t>CHP Weekly Influenza Surveillance 2014-2026</w:t>
            </w:r>
          </w:p>
        </w:tc>
        <w:tc>
          <w:tcPr>
            <w:tcW w:type="dxa" w:w="2592"/>
            <w:shd w:val="clear" w:color="auto" w:fill="FFFFFF"/>
          </w:tcPr>
          <w:p>
            <w:pPr>
              <w:spacing w:before="40" w:after="40"/>
              <w:jc w:val="left"/>
            </w:pPr>
            <w:r>
              <w:rPr>
                <w:sz w:val="20"/>
              </w:rPr>
              <w:t>RETAIN — primary data source</w:t>
            </w:r>
          </w:p>
        </w:tc>
      </w:tr>
      <w:tr>
        <w:tc>
          <w:tcPr>
            <w:tcW w:type="dxa" w:w="3168"/>
            <w:shd w:val="clear" w:color="auto" w:fill="EBF3FB"/>
          </w:tcPr>
          <w:p>
            <w:pPr>
              <w:spacing w:before="40" w:after="40"/>
              <w:jc w:val="left"/>
            </w:pPr>
            <w:r>
              <w:rPr>
                <w:sz w:val="20"/>
              </w:rPr>
              <w:t>data/raw/raw_flunet_hk.csv</w:t>
            </w:r>
          </w:p>
        </w:tc>
        <w:tc>
          <w:tcPr>
            <w:tcW w:type="dxa" w:w="4320"/>
            <w:shd w:val="clear" w:color="auto" w:fill="EBF3FB"/>
          </w:tcPr>
          <w:p>
            <w:pPr>
              <w:spacing w:before="40" w:after="40"/>
              <w:jc w:val="left"/>
            </w:pPr>
            <w:r>
              <w:rPr>
                <w:sz w:val="20"/>
              </w:rPr>
              <w:t>WHO FluNet Hong Kong 1997-2026</w:t>
            </w:r>
          </w:p>
        </w:tc>
        <w:tc>
          <w:tcPr>
            <w:tcW w:type="dxa" w:w="2592"/>
            <w:shd w:val="clear" w:color="auto" w:fill="EBF3FB"/>
          </w:tcPr>
          <w:p>
            <w:pPr>
              <w:spacing w:before="40" w:after="40"/>
              <w:jc w:val="left"/>
            </w:pPr>
            <w:r>
              <w:rPr>
                <w:sz w:val="20"/>
              </w:rPr>
              <w:t>RETAIN — valuable historical depth</w:t>
            </w:r>
          </w:p>
        </w:tc>
      </w:tr>
      <w:tr>
        <w:tc>
          <w:tcPr>
            <w:tcW w:type="dxa" w:w="3168"/>
            <w:shd w:val="clear" w:color="auto" w:fill="FFFFFF"/>
          </w:tcPr>
          <w:p>
            <w:pPr>
              <w:spacing w:before="40" w:after="40"/>
              <w:jc w:val="left"/>
            </w:pPr>
            <w:r>
              <w:rPr>
                <w:sz w:val="20"/>
              </w:rPr>
              <w:t>data/processed/processed_master_dataset.csv</w:t>
            </w:r>
          </w:p>
        </w:tc>
        <w:tc>
          <w:tcPr>
            <w:tcW w:type="dxa" w:w="4320"/>
            <w:shd w:val="clear" w:color="auto" w:fill="FFFFFF"/>
          </w:tcPr>
          <w:p>
            <w:pPr>
              <w:spacing w:before="40" w:after="40"/>
              <w:jc w:val="left"/>
            </w:pPr>
            <w:r>
              <w:rPr>
                <w:sz w:val="20"/>
              </w:rPr>
              <w:t>636 weeks × 55 columns: merged CHP + FluNet + HKO</w:t>
            </w:r>
          </w:p>
        </w:tc>
        <w:tc>
          <w:tcPr>
            <w:tcW w:type="dxa" w:w="2592"/>
            <w:shd w:val="clear" w:color="auto" w:fill="FFFFFF"/>
          </w:tcPr>
          <w:p>
            <w:pPr>
              <w:spacing w:before="40" w:after="40"/>
              <w:jc w:val="left"/>
            </w:pPr>
            <w:r>
              <w:rPr>
                <w:sz w:val="20"/>
              </w:rPr>
              <w:t>HIGH VALUE — retain, update automatically</w:t>
            </w:r>
          </w:p>
        </w:tc>
      </w:tr>
      <w:tr>
        <w:tc>
          <w:tcPr>
            <w:tcW w:type="dxa" w:w="3168"/>
            <w:shd w:val="clear" w:color="auto" w:fill="EBF3FB"/>
          </w:tcPr>
          <w:p>
            <w:pPr>
              <w:spacing w:before="40" w:after="40"/>
              <w:jc w:val="left"/>
            </w:pPr>
            <w:r>
              <w:rPr>
                <w:sz w:val="20"/>
              </w:rPr>
              <w:t>data/processed/processed_model_ready.csv</w:t>
            </w:r>
          </w:p>
        </w:tc>
        <w:tc>
          <w:tcPr>
            <w:tcW w:type="dxa" w:w="4320"/>
            <w:shd w:val="clear" w:color="auto" w:fill="EBF3FB"/>
          </w:tcPr>
          <w:p>
            <w:pPr>
              <w:spacing w:before="40" w:after="40"/>
              <w:jc w:val="left"/>
            </w:pPr>
            <w:r>
              <w:rPr>
                <w:sz w:val="20"/>
              </w:rPr>
              <w:t>373 weeks (2019-2026), log-transformed, regressors</w:t>
            </w:r>
          </w:p>
        </w:tc>
        <w:tc>
          <w:tcPr>
            <w:tcW w:type="dxa" w:w="2592"/>
            <w:shd w:val="clear" w:color="auto" w:fill="EBF3FB"/>
          </w:tcPr>
          <w:p>
            <w:pPr>
              <w:spacing w:before="40" w:after="40"/>
              <w:jc w:val="left"/>
            </w:pPr>
            <w:r>
              <w:rPr>
                <w:sz w:val="20"/>
              </w:rPr>
              <w:t>RETAIN — starting point for model training</w:t>
            </w:r>
          </w:p>
        </w:tc>
      </w:tr>
      <w:tr>
        <w:tc>
          <w:tcPr>
            <w:tcW w:type="dxa" w:w="3168"/>
            <w:shd w:val="clear" w:color="auto" w:fill="FFFFFF"/>
          </w:tcPr>
          <w:p>
            <w:pPr>
              <w:spacing w:before="40" w:after="40"/>
              <w:jc w:val="left"/>
            </w:pPr>
            <w:r>
              <w:rPr>
                <w:sz w:val="20"/>
              </w:rPr>
              <w:t>data/processed/processed_covid_imputed_series.csv</w:t>
            </w:r>
          </w:p>
        </w:tc>
        <w:tc>
          <w:tcPr>
            <w:tcW w:type="dxa" w:w="4320"/>
            <w:shd w:val="clear" w:color="auto" w:fill="FFFFFF"/>
          </w:tcPr>
          <w:p>
            <w:pPr>
              <w:spacing w:before="40" w:after="40"/>
              <w:jc w:val="left"/>
            </w:pPr>
            <w:r>
              <w:rPr>
                <w:sz w:val="20"/>
              </w:rPr>
              <w:t>COVID gap (Apr 2020-Sep 2022) filled by seasonal decomp + Kalman</w:t>
            </w:r>
          </w:p>
        </w:tc>
        <w:tc>
          <w:tcPr>
            <w:tcW w:type="dxa" w:w="2592"/>
            <w:shd w:val="clear" w:color="auto" w:fill="FFFFFF"/>
          </w:tcPr>
          <w:p>
            <w:pPr>
              <w:spacing w:before="40" w:after="40"/>
              <w:jc w:val="left"/>
            </w:pPr>
            <w:r>
              <w:rPr>
                <w:sz w:val="20"/>
              </w:rPr>
              <w:t>RETAIN with caveat — MAPE 76.3%</w:t>
            </w:r>
          </w:p>
        </w:tc>
      </w:tr>
      <w:tr>
        <w:tc>
          <w:tcPr>
            <w:tcW w:type="dxa" w:w="3168"/>
            <w:shd w:val="clear" w:color="auto" w:fill="EBF3FB"/>
          </w:tcPr>
          <w:p>
            <w:pPr>
              <w:spacing w:before="40" w:after="40"/>
              <w:jc w:val="left"/>
            </w:pPr>
            <w:r>
              <w:rPr>
                <w:sz w:val="20"/>
              </w:rPr>
              <w:t>outputs/forecasts/forecast_78wk_2026_27.csv</w:t>
            </w:r>
          </w:p>
        </w:tc>
        <w:tc>
          <w:tcPr>
            <w:tcW w:type="dxa" w:w="4320"/>
            <w:shd w:val="clear" w:color="auto" w:fill="EBF3FB"/>
          </w:tcPr>
          <w:p>
            <w:pPr>
              <w:spacing w:before="40" w:after="40"/>
              <w:jc w:val="left"/>
            </w:pPr>
            <w:r>
              <w:rPr>
                <w:sz w:val="20"/>
              </w:rPr>
              <w:t>SARIMA: 78-week forecast + 80%/95% PI</w:t>
            </w:r>
          </w:p>
        </w:tc>
        <w:tc>
          <w:tcPr>
            <w:tcW w:type="dxa" w:w="2592"/>
            <w:shd w:val="clear" w:color="auto" w:fill="EBF3FB"/>
          </w:tcPr>
          <w:p>
            <w:pPr>
              <w:spacing w:before="40" w:after="40"/>
              <w:jc w:val="left"/>
            </w:pPr>
            <w:r>
              <w:rPr>
                <w:sz w:val="20"/>
              </w:rPr>
              <w:t>MODIFY — reformat to FluSight quantile spec</w:t>
            </w:r>
          </w:p>
        </w:tc>
      </w:tr>
      <w:tr>
        <w:tc>
          <w:tcPr>
            <w:tcW w:type="dxa" w:w="3168"/>
            <w:shd w:val="clear" w:color="auto" w:fill="FFFFFF"/>
          </w:tcPr>
          <w:p>
            <w:pPr>
              <w:spacing w:before="40" w:after="40"/>
              <w:jc w:val="left"/>
            </w:pPr>
            <w:r>
              <w:rPr>
                <w:sz w:val="20"/>
              </w:rPr>
              <w:t>outputs/coefficients/model_coefficients.json</w:t>
            </w:r>
          </w:p>
        </w:tc>
        <w:tc>
          <w:tcPr>
            <w:tcW w:type="dxa" w:w="4320"/>
            <w:shd w:val="clear" w:color="auto" w:fill="FFFFFF"/>
          </w:tcPr>
          <w:p>
            <w:pPr>
              <w:spacing w:before="40" w:after="40"/>
              <w:jc w:val="left"/>
            </w:pPr>
            <w:r>
              <w:rPr>
                <w:sz w:val="20"/>
              </w:rPr>
              <w:t>SARIMA(1,0,1)(1,1,0)[52] fitted parameters</w:t>
            </w:r>
          </w:p>
        </w:tc>
        <w:tc>
          <w:tcPr>
            <w:tcW w:type="dxa" w:w="2592"/>
            <w:shd w:val="clear" w:color="auto" w:fill="FFFFFF"/>
          </w:tcPr>
          <w:p>
            <w:pPr>
              <w:spacing w:before="40" w:after="40"/>
              <w:jc w:val="left"/>
            </w:pPr>
            <w:r>
              <w:rPr>
                <w:sz w:val="20"/>
              </w:rPr>
              <w:t>RETAIN as reference baseline</w:t>
            </w:r>
          </w:p>
        </w:tc>
      </w:tr>
      <w:tr>
        <w:tc>
          <w:tcPr>
            <w:tcW w:type="dxa" w:w="3168"/>
            <w:shd w:val="clear" w:color="auto" w:fill="EBF3FB"/>
          </w:tcPr>
          <w:p>
            <w:pPr>
              <w:spacing w:before="40" w:after="40"/>
              <w:jc w:val="left"/>
            </w:pPr>
            <w:r>
              <w:rPr>
                <w:sz w:val="20"/>
              </w:rPr>
              <w:t>documentation/Model_Card_v2.0_Supervisor_Package.docx</w:t>
            </w:r>
          </w:p>
        </w:tc>
        <w:tc>
          <w:tcPr>
            <w:tcW w:type="dxa" w:w="4320"/>
            <w:shd w:val="clear" w:color="auto" w:fill="EBF3FB"/>
          </w:tcPr>
          <w:p>
            <w:pPr>
              <w:spacing w:before="40" w:after="40"/>
              <w:jc w:val="left"/>
            </w:pPr>
            <w:r>
              <w:rPr>
                <w:sz w:val="20"/>
              </w:rPr>
              <w:t>Original model card</w:t>
            </w:r>
          </w:p>
        </w:tc>
        <w:tc>
          <w:tcPr>
            <w:tcW w:type="dxa" w:w="2592"/>
            <w:shd w:val="clear" w:color="auto" w:fill="EBF3FB"/>
          </w:tcPr>
          <w:p>
            <w:pPr>
              <w:spacing w:before="40" w:after="40"/>
              <w:jc w:val="left"/>
            </w:pPr>
            <w:r>
              <w:rPr>
                <w:sz w:val="20"/>
              </w:rPr>
              <w:t>SUPERSEDED by this document</w:t>
            </w:r>
          </w:p>
        </w:tc>
      </w:tr>
    </w:tbl>
    <w:p/>
    <w:p>
      <w:pPr>
        <w:pStyle w:val="Heading2"/>
        <w:spacing w:before="240" w:after="80"/>
      </w:pPr>
      <w:r>
        <w:rPr>
          <w:b/>
          <w:color w:val="1F497D"/>
          <w:sz w:val="26"/>
        </w:rPr>
        <w:t>2.2  Critical Technical Findings</w:t>
      </w:r>
    </w:p>
    <w:p>
      <w:pPr>
        <w:pStyle w:val="Heading3"/>
        <w:spacing w:before="160" w:after="60"/>
      </w:pPr>
      <w:r>
        <w:rPr>
          <w:b/>
          <w:sz w:val="22"/>
        </w:rPr>
        <w:t>Finding 1: Stub Scripts Are the Highest-Priority Rebuild Task</w:t>
      </w:r>
    </w:p>
    <w:p>
      <w:pPr>
        <w:spacing w:after="120" w:before="0"/>
      </w:pPr>
      <w:r>
        <w:rPr>
          <w:sz w:val="22"/>
        </w:rPr>
        <w:t>Scripts 01-06 contain only module docstrings and 2-3 lines of import/stub code. The actual pipeline logic — data loading, COVID imputation, SARIMA fitting, bootstrap forecast generation — was run interactively and the outputs committed, but the code was not saved. This is the single most important gap: without reproducible scripts 01-06, the pipeline cannot be re-run on updated data or shared with contributors.</w:t>
      </w:r>
    </w:p>
    <w:p>
      <w:pPr>
        <w:pStyle w:val="Heading3"/>
        <w:spacing w:before="160" w:after="60"/>
      </w:pPr>
      <w:r>
        <w:rPr>
          <w:b/>
          <w:sz w:val="22"/>
        </w:rPr>
        <w:t>Finding 2: Target Variable Requires Standardisation</w:t>
      </w:r>
    </w:p>
    <w:p>
      <w:pPr>
        <w:spacing w:after="120" w:before="0"/>
      </w:pPr>
      <w:r>
        <w:rPr>
          <w:sz w:val="22"/>
        </w:rPr>
        <w:t>The current target is ILI+ = ILI_FMC_rate × positivity_rate — a synthetic composite unique to this project. FluSight's primary target is wILI% (weighted influenza-like illness percentage from sentinel physicians). Hong Kong's CHP reports both ILI per 1,000 consultations (GOPC rate) and laboratory positivity separately. For HK-FluEns, a formal target definition must be agreed before implementation, since all model evaluation, ensemble combination, and hub submission formats depend on a consistent target.</w:t>
      </w:r>
    </w:p>
    <w:p>
      <w:pPr>
        <w:pStyle w:val="Heading3"/>
        <w:spacing w:before="160" w:after="60"/>
      </w:pPr>
      <w:r>
        <w:rPr>
          <w:b/>
          <w:sz w:val="22"/>
        </w:rPr>
        <w:t>Finding 3: Climatological Regressors Are a Limitation</w:t>
      </w:r>
    </w:p>
    <w:p>
      <w:pPr>
        <w:spacing w:after="120" w:before="0"/>
      </w:pPr>
      <w:r>
        <w:rPr>
          <w:sz w:val="22"/>
        </w:rPr>
        <w:t>The ARIMAX regressors (temperature, absolute humidity) are drawn from HKO 30-year climatological normals (1991-2020), not actual weekly observed weather. This means the model cannot respond to anomalous weather conditions — a known mechanistic driver of influenza transmission in subtropical climates. For HK-FluEns, actual weekly AH data should replace climatological proxies.</w:t>
      </w:r>
    </w:p>
    <w:p>
      <w:pPr>
        <w:pStyle w:val="Heading3"/>
        <w:spacing w:before="160" w:after="60"/>
      </w:pPr>
      <w:r>
        <w:rPr>
          <w:b/>
          <w:sz w:val="22"/>
        </w:rPr>
        <w:t>Finding 4: Bimodal Seasonality Is Partially Addressed</w:t>
      </w:r>
    </w:p>
    <w:p>
      <w:pPr>
        <w:spacing w:after="120" w:before="0"/>
      </w:pPr>
      <w:r>
        <w:rPr>
          <w:sz w:val="22"/>
        </w:rPr>
        <w:t>The SARIMA(1,0,1)(1,1,0)[52] model applies a single seasonal differencing at lag 52. This captures the annual cycle but does not explicitly model the bimodal structure (winter Jan-Mar, summer Jun-Aug). The Historical Benchmark component partially compensates by encoding pre-pandemic bimodal week-by-week medians, but no model in the ensemble has a formal two-peak seasonal decomposition. A regime-switching or two-component seasonal model is needed for HK-FluEns.</w:t>
      </w:r>
    </w:p>
    <w:p>
      <w:pPr>
        <w:pStyle w:val="Heading3"/>
        <w:spacing w:before="160" w:after="60"/>
      </w:pPr>
      <w:r>
        <w:rPr>
          <w:b/>
          <w:sz w:val="22"/>
        </w:rPr>
        <w:t>Finding 5: Output Format Is Not FluSight-Compatible</w:t>
      </w:r>
    </w:p>
    <w:p>
      <w:pPr>
        <w:spacing w:after="120" w:before="0"/>
      </w:pPr>
      <w:r>
        <w:rPr>
          <w:sz w:val="22"/>
        </w:rPr>
        <w:t>The current forecast output contains only the point forecast plus 80%/95% prediction interval bounds. The FluSight format requires 23 quantiles per forecast horizon (0.01, 0.025, 0.05, 0.10, ..., 0.95, 0.975, 0.99) plus the point estimate, for each of 1-4 forecast horizons. The bootstrap draws already exist in the pipeline but are not currently saved as quantile outputs.</w:t>
      </w:r>
    </w:p>
    <w:p>
      <w:pPr>
        <w:pStyle w:val="Heading3"/>
        <w:spacing w:before="160" w:after="60"/>
      </w:pPr>
      <w:r>
        <w:rPr>
          <w:b/>
          <w:sz w:val="22"/>
        </w:rPr>
        <w:t>Finding 6: Equal Weights vs. AWBE</w:t>
      </w:r>
    </w:p>
    <w:p>
      <w:pPr>
        <w:spacing w:after="120" w:before="0"/>
      </w:pPr>
      <w:r>
        <w:rPr>
          <w:sz w:val="22"/>
        </w:rPr>
        <w:t>The current ensemble uses fixed equal weights (1/3 each). The project brief specifies an Adaptive Weight Blending Ensemble (AWBE) that re-weights based on recent performance. This requires implementing the AWBE algorithm and tracking per-model performance windows — a significant engineering addition.</w:t>
      </w:r>
    </w:p>
    <w:p>
      <w:pPr>
        <w:pStyle w:val="Heading3"/>
        <w:spacing w:before="160" w:after="60"/>
      </w:pPr>
      <w:r>
        <w:rPr>
          <w:b/>
          <w:sz w:val="22"/>
        </w:rPr>
        <w:t>Finding 7: COVID Imputation Quality</w:t>
      </w:r>
    </w:p>
    <w:p>
      <w:pPr>
        <w:spacing w:after="120" w:before="0"/>
      </w:pPr>
      <w:r>
        <w:rPr>
          <w:sz w:val="22"/>
        </w:rPr>
        <w:t>The imputed COVID-gap series (Apr 2020-Sep 2022, 54 weeks) was validated using pseudo-validation MAPE of 76.3% — indicating the imputed values have large uncertainty. While imputation is necessary for continuity, models trained on imputed data should include sensitivity analyses with and without the imputed period.</w:t>
      </w:r>
    </w:p>
    <w:p>
      <w:pPr>
        <w:pStyle w:val="Heading2"/>
        <w:spacing w:before="240" w:after="80"/>
      </w:pPr>
      <w:r>
        <w:rPr>
          <w:b/>
          <w:color w:val="1F497D"/>
          <w:sz w:val="26"/>
        </w:rPr>
        <w:t>2.3  Asset Classification — Retain / Modify / Rebuild</w:t>
      </w:r>
    </w:p>
    <w:tbl>
      <w:tblPr>
        <w:tblStyle w:val="TableGrid"/>
        <w:tblW w:type="auto" w:w="0"/>
        <w:jc w:val="left"/>
        <w:tblLook w:firstColumn="1" w:firstRow="1" w:lastColumn="0" w:lastRow="0" w:noHBand="0" w:noVBand="1" w:val="04A0"/>
      </w:tblPr>
      <w:tblGrid>
        <w:gridCol w:w="3168"/>
        <w:gridCol w:w="1440"/>
        <w:gridCol w:w="4752"/>
      </w:tblGrid>
      <w:tr>
        <w:tc>
          <w:tcPr>
            <w:tcW w:type="dxa" w:w="3168"/>
            <w:shd w:val="clear" w:color="auto" w:fill="1F4978"/>
          </w:tcPr>
          <w:p>
            <w:pPr>
              <w:spacing w:before="60" w:after="60"/>
              <w:jc w:val="left"/>
            </w:pPr>
            <w:r>
              <w:rPr>
                <w:b/>
                <w:color w:val="FFFFFF"/>
                <w:sz w:val="20"/>
              </w:rPr>
              <w:t>Asset</w:t>
            </w:r>
          </w:p>
        </w:tc>
        <w:tc>
          <w:tcPr>
            <w:tcW w:type="dxa" w:w="1440"/>
            <w:shd w:val="clear" w:color="auto" w:fill="1F4978"/>
          </w:tcPr>
          <w:p>
            <w:pPr>
              <w:spacing w:before="60" w:after="60"/>
              <w:jc w:val="left"/>
            </w:pPr>
            <w:r>
              <w:rPr>
                <w:b/>
                <w:color w:val="FFFFFF"/>
                <w:sz w:val="20"/>
              </w:rPr>
              <w:t>Decision</w:t>
            </w:r>
          </w:p>
        </w:tc>
        <w:tc>
          <w:tcPr>
            <w:tcW w:type="dxa" w:w="4752"/>
            <w:shd w:val="clear" w:color="auto" w:fill="1F4978"/>
          </w:tcPr>
          <w:p>
            <w:pPr>
              <w:spacing w:before="60" w:after="60"/>
              <w:jc w:val="left"/>
            </w:pPr>
            <w:r>
              <w:rPr>
                <w:b/>
                <w:color w:val="FFFFFF"/>
                <w:sz w:val="20"/>
              </w:rPr>
              <w:t>Rationale</w:t>
            </w:r>
          </w:p>
        </w:tc>
      </w:tr>
      <w:tr>
        <w:tc>
          <w:tcPr>
            <w:tcW w:type="dxa" w:w="3168"/>
            <w:shd w:val="clear" w:color="auto" w:fill="FFFFFF"/>
          </w:tcPr>
          <w:p>
            <w:pPr>
              <w:spacing w:before="40" w:after="40"/>
              <w:jc w:val="left"/>
            </w:pPr>
            <w:r>
              <w:rPr>
                <w:sz w:val="20"/>
              </w:rPr>
              <w:t>processed_master_dataset.csv (55 cols)</w:t>
            </w:r>
          </w:p>
        </w:tc>
        <w:tc>
          <w:tcPr>
            <w:tcW w:type="dxa" w:w="1440"/>
            <w:shd w:val="clear" w:color="auto" w:fill="FFFFFF"/>
          </w:tcPr>
          <w:p>
            <w:pPr>
              <w:spacing w:before="40" w:after="40"/>
              <w:jc w:val="left"/>
            </w:pPr>
            <w:r>
              <w:rPr>
                <w:b/>
                <w:sz w:val="20"/>
              </w:rPr>
              <w:t>RETAIN</w:t>
            </w:r>
          </w:p>
        </w:tc>
        <w:tc>
          <w:tcPr>
            <w:tcW w:type="dxa" w:w="4752"/>
            <w:shd w:val="clear" w:color="auto" w:fill="FFFFFF"/>
          </w:tcPr>
          <w:p>
            <w:pPr>
              <w:spacing w:before="40" w:after="40"/>
              <w:jc w:val="left"/>
            </w:pPr>
            <w:r>
              <w:rPr>
                <w:sz w:val="20"/>
              </w:rPr>
              <w:t>Extensive feature engineering; 636 weeks of merged data is the most valuable asset in the project</w:t>
            </w:r>
          </w:p>
        </w:tc>
      </w:tr>
      <w:tr>
        <w:tc>
          <w:tcPr>
            <w:tcW w:type="dxa" w:w="3168"/>
            <w:shd w:val="clear" w:color="auto" w:fill="EBF3FB"/>
          </w:tcPr>
          <w:p>
            <w:pPr>
              <w:spacing w:before="40" w:after="40"/>
              <w:jc w:val="left"/>
            </w:pPr>
            <w:r>
              <w:rPr>
                <w:sz w:val="20"/>
              </w:rPr>
              <w:t>raw_chp_weekly.xlsx + raw_flunet_hk.csv</w:t>
            </w:r>
          </w:p>
        </w:tc>
        <w:tc>
          <w:tcPr>
            <w:tcW w:type="dxa" w:w="1440"/>
            <w:shd w:val="clear" w:color="auto" w:fill="EBF3FB"/>
          </w:tcPr>
          <w:p>
            <w:pPr>
              <w:spacing w:before="40" w:after="40"/>
              <w:jc w:val="left"/>
            </w:pPr>
            <w:r>
              <w:rPr>
                <w:b/>
                <w:sz w:val="20"/>
              </w:rPr>
              <w:t>RETAIN</w:t>
            </w:r>
          </w:p>
        </w:tc>
        <w:tc>
          <w:tcPr>
            <w:tcW w:type="dxa" w:w="4752"/>
            <w:shd w:val="clear" w:color="auto" w:fill="EBF3FB"/>
          </w:tcPr>
          <w:p>
            <w:pPr>
              <w:spacing w:before="40" w:after="40"/>
              <w:jc w:val="left"/>
            </w:pPr>
            <w:r>
              <w:rPr>
                <w:sz w:val="20"/>
              </w:rPr>
              <w:t>Primary data sources; form the basis of all historical training data</w:t>
            </w:r>
          </w:p>
        </w:tc>
      </w:tr>
      <w:tr>
        <w:tc>
          <w:tcPr>
            <w:tcW w:type="dxa" w:w="3168"/>
            <w:shd w:val="clear" w:color="auto" w:fill="FFFFFF"/>
          </w:tcPr>
          <w:p>
            <w:pPr>
              <w:spacing w:before="40" w:after="40"/>
              <w:jc w:val="left"/>
            </w:pPr>
            <w:r>
              <w:rPr>
                <w:sz w:val="20"/>
              </w:rPr>
              <w:t>ETS(A,A,A) implementation (script 07)</w:t>
            </w:r>
          </w:p>
        </w:tc>
        <w:tc>
          <w:tcPr>
            <w:tcW w:type="dxa" w:w="1440"/>
            <w:shd w:val="clear" w:color="auto" w:fill="FFFFFF"/>
          </w:tcPr>
          <w:p>
            <w:pPr>
              <w:spacing w:before="40" w:after="40"/>
              <w:jc w:val="left"/>
            </w:pPr>
            <w:r>
              <w:rPr>
                <w:b/>
                <w:sz w:val="20"/>
              </w:rPr>
              <w:t>RETAIN</w:t>
            </w:r>
          </w:p>
        </w:tc>
        <w:tc>
          <w:tcPr>
            <w:tcW w:type="dxa" w:w="4752"/>
            <w:shd w:val="clear" w:color="auto" w:fill="FFFFFF"/>
          </w:tcPr>
          <w:p>
            <w:pPr>
              <w:spacing w:before="40" w:after="40"/>
              <w:jc w:val="left"/>
            </w:pPr>
            <w:r>
              <w:rPr>
                <w:sz w:val="20"/>
              </w:rPr>
              <w:t>Clean, dependency-free scipy implementation; correctly handles bimodal seasonality; well-tested</w:t>
            </w:r>
          </w:p>
        </w:tc>
      </w:tr>
      <w:tr>
        <w:tc>
          <w:tcPr>
            <w:tcW w:type="dxa" w:w="3168"/>
            <w:shd w:val="clear" w:color="auto" w:fill="EBF3FB"/>
          </w:tcPr>
          <w:p>
            <w:pPr>
              <w:spacing w:before="40" w:after="40"/>
              <w:jc w:val="left"/>
            </w:pPr>
            <w:r>
              <w:rPr>
                <w:sz w:val="20"/>
              </w:rPr>
              <w:t>Rolling-origin CV framework (script 08)</w:t>
            </w:r>
          </w:p>
        </w:tc>
        <w:tc>
          <w:tcPr>
            <w:tcW w:type="dxa" w:w="1440"/>
            <w:shd w:val="clear" w:color="auto" w:fill="EBF3FB"/>
          </w:tcPr>
          <w:p>
            <w:pPr>
              <w:spacing w:before="40" w:after="40"/>
              <w:jc w:val="left"/>
            </w:pPr>
            <w:r>
              <w:rPr>
                <w:b/>
                <w:sz w:val="20"/>
              </w:rPr>
              <w:t>RETAIN</w:t>
            </w:r>
          </w:p>
        </w:tc>
        <w:tc>
          <w:tcPr>
            <w:tcW w:type="dxa" w:w="4752"/>
            <w:shd w:val="clear" w:color="auto" w:fill="EBF3FB"/>
          </w:tcPr>
          <w:p>
            <w:pPr>
              <w:spacing w:before="40" w:after="40"/>
              <w:jc w:val="left"/>
            </w:pPr>
            <w:r>
              <w:rPr>
                <w:sz w:val="20"/>
              </w:rPr>
              <w:t>Acceptance criterion logic and multi-window design are reusable; add WIS scoring</w:t>
            </w:r>
          </w:p>
        </w:tc>
      </w:tr>
      <w:tr>
        <w:tc>
          <w:tcPr>
            <w:tcW w:type="dxa" w:w="3168"/>
            <w:shd w:val="clear" w:color="auto" w:fill="FFFFFF"/>
          </w:tcPr>
          <w:p>
            <w:pPr>
              <w:spacing w:before="40" w:after="40"/>
              <w:jc w:val="left"/>
            </w:pPr>
            <w:r>
              <w:rPr>
                <w:sz w:val="20"/>
              </w:rPr>
              <w:t>Historical percentile benchmark concept</w:t>
            </w:r>
          </w:p>
        </w:tc>
        <w:tc>
          <w:tcPr>
            <w:tcW w:type="dxa" w:w="1440"/>
            <w:shd w:val="clear" w:color="auto" w:fill="FFFFFF"/>
          </w:tcPr>
          <w:p>
            <w:pPr>
              <w:spacing w:before="40" w:after="40"/>
              <w:jc w:val="left"/>
            </w:pPr>
            <w:r>
              <w:rPr>
                <w:b/>
                <w:sz w:val="20"/>
              </w:rPr>
              <w:t>RETAIN</w:t>
            </w:r>
          </w:p>
        </w:tc>
        <w:tc>
          <w:tcPr>
            <w:tcW w:type="dxa" w:w="4752"/>
            <w:shd w:val="clear" w:color="auto" w:fill="FFFFFF"/>
          </w:tcPr>
          <w:p>
            <w:pPr>
              <w:spacing w:before="40" w:after="40"/>
              <w:jc w:val="left"/>
            </w:pPr>
            <w:r>
              <w:rPr>
                <w:sz w:val="20"/>
              </w:rPr>
              <w:t>Effective magnitude anchor; reuse as one ensemble component</w:t>
            </w:r>
          </w:p>
        </w:tc>
      </w:tr>
      <w:tr>
        <w:tc>
          <w:tcPr>
            <w:tcW w:type="dxa" w:w="3168"/>
            <w:shd w:val="clear" w:color="auto" w:fill="EBF3FB"/>
          </w:tcPr>
          <w:p>
            <w:pPr>
              <w:spacing w:before="40" w:after="40"/>
              <w:jc w:val="left"/>
            </w:pPr>
            <w:r>
              <w:rPr>
                <w:sz w:val="20"/>
              </w:rPr>
              <w:t>SARIMA implementation approach</w:t>
            </w:r>
          </w:p>
        </w:tc>
        <w:tc>
          <w:tcPr>
            <w:tcW w:type="dxa" w:w="1440"/>
            <w:shd w:val="clear" w:color="auto" w:fill="EBF3FB"/>
          </w:tcPr>
          <w:p>
            <w:pPr>
              <w:spacing w:before="40" w:after="40"/>
              <w:jc w:val="left"/>
            </w:pPr>
            <w:r>
              <w:rPr>
                <w:b/>
                <w:sz w:val="20"/>
              </w:rPr>
              <w:t>RETAIN</w:t>
            </w:r>
          </w:p>
        </w:tc>
        <w:tc>
          <w:tcPr>
            <w:tcW w:type="dxa" w:w="4752"/>
            <w:shd w:val="clear" w:color="auto" w:fill="EBF3FB"/>
          </w:tcPr>
          <w:p>
            <w:pPr>
              <w:spacing w:before="40" w:after="40"/>
              <w:jc w:val="left"/>
            </w:pPr>
            <w:r>
              <w:rPr>
                <w:sz w:val="20"/>
              </w:rPr>
              <w:t>From-scratch scipy approach avoids version fragility; retain pattern for HK-FluEns SARIMA</w:t>
            </w:r>
          </w:p>
        </w:tc>
      </w:tr>
      <w:tr>
        <w:tc>
          <w:tcPr>
            <w:tcW w:type="dxa" w:w="3168"/>
            <w:shd w:val="clear" w:color="auto" w:fill="FFFFFF"/>
          </w:tcPr>
          <w:p>
            <w:pPr>
              <w:spacing w:before="40" w:after="40"/>
              <w:jc w:val="left"/>
            </w:pPr>
            <w:r>
              <w:rPr>
                <w:sz w:val="20"/>
              </w:rPr>
              <w:t>Strain multiplier table (H3N2/H1N1/B)</w:t>
            </w:r>
          </w:p>
        </w:tc>
        <w:tc>
          <w:tcPr>
            <w:tcW w:type="dxa" w:w="1440"/>
            <w:shd w:val="clear" w:color="auto" w:fill="FFFFFF"/>
          </w:tcPr>
          <w:p>
            <w:pPr>
              <w:spacing w:before="40" w:after="40"/>
              <w:jc w:val="left"/>
            </w:pPr>
            <w:r>
              <w:rPr>
                <w:b/>
                <w:sz w:val="20"/>
              </w:rPr>
              <w:t>RETAIN</w:t>
            </w:r>
          </w:p>
        </w:tc>
        <w:tc>
          <w:tcPr>
            <w:tcW w:type="dxa" w:w="4752"/>
            <w:shd w:val="clear" w:color="auto" w:fill="FFFFFF"/>
          </w:tcPr>
          <w:p>
            <w:pPr>
              <w:spacing w:before="40" w:after="40"/>
              <w:jc w:val="left"/>
            </w:pPr>
            <w:r>
              <w:rPr>
                <w:sz w:val="20"/>
              </w:rPr>
              <w:t>Derived from FluNet ratios; valid for operational use; extend with uncertainty</w:t>
            </w:r>
          </w:p>
        </w:tc>
      </w:tr>
      <w:tr>
        <w:tc>
          <w:tcPr>
            <w:tcW w:type="dxa" w:w="3168"/>
            <w:shd w:val="clear" w:color="auto" w:fill="EBF3FB"/>
          </w:tcPr>
          <w:p>
            <w:pPr>
              <w:spacing w:before="40" w:after="40"/>
              <w:jc w:val="left"/>
            </w:pPr>
            <w:r>
              <w:rPr>
                <w:sz w:val="20"/>
              </w:rPr>
              <w:t>COVID suppression flags and logic</w:t>
            </w:r>
          </w:p>
        </w:tc>
        <w:tc>
          <w:tcPr>
            <w:tcW w:type="dxa" w:w="1440"/>
            <w:shd w:val="clear" w:color="auto" w:fill="EBF3FB"/>
          </w:tcPr>
          <w:p>
            <w:pPr>
              <w:spacing w:before="40" w:after="40"/>
              <w:jc w:val="left"/>
            </w:pPr>
            <w:r>
              <w:rPr>
                <w:b/>
                <w:sz w:val="20"/>
              </w:rPr>
              <w:t>RETAIN</w:t>
            </w:r>
          </w:p>
        </w:tc>
        <w:tc>
          <w:tcPr>
            <w:tcW w:type="dxa" w:w="4752"/>
            <w:shd w:val="clear" w:color="auto" w:fill="EBF3FB"/>
          </w:tcPr>
          <w:p>
            <w:pPr>
              <w:spacing w:before="40" w:after="40"/>
              <w:jc w:val="left"/>
            </w:pPr>
            <w:r>
              <w:rPr>
                <w:sz w:val="20"/>
              </w:rPr>
              <w:t>Correctly identifies 54 suppressed weeks; needed for any future structural break handling</w:t>
            </w:r>
          </w:p>
        </w:tc>
      </w:tr>
      <w:tr>
        <w:tc>
          <w:tcPr>
            <w:tcW w:type="dxa" w:w="3168"/>
            <w:shd w:val="clear" w:color="auto" w:fill="FFFFFF"/>
          </w:tcPr>
          <w:p>
            <w:pPr>
              <w:spacing w:before="40" w:after="40"/>
              <w:jc w:val="left"/>
            </w:pPr>
            <w:r>
              <w:rPr>
                <w:sz w:val="20"/>
              </w:rPr>
              <w:t>Forecast output format (point + 80/95 PI)</w:t>
            </w:r>
          </w:p>
        </w:tc>
        <w:tc>
          <w:tcPr>
            <w:tcW w:type="dxa" w:w="1440"/>
            <w:shd w:val="clear" w:color="auto" w:fill="FFFFFF"/>
          </w:tcPr>
          <w:p>
            <w:pPr>
              <w:spacing w:before="40" w:after="40"/>
              <w:jc w:val="left"/>
            </w:pPr>
            <w:r>
              <w:rPr>
                <w:b/>
                <w:sz w:val="20"/>
              </w:rPr>
              <w:t>MODIFY</w:t>
            </w:r>
          </w:p>
        </w:tc>
        <w:tc>
          <w:tcPr>
            <w:tcW w:type="dxa" w:w="4752"/>
            <w:shd w:val="clear" w:color="auto" w:fill="FFFFFF"/>
          </w:tcPr>
          <w:p>
            <w:pPr>
              <w:spacing w:before="40" w:after="40"/>
              <w:jc w:val="left"/>
            </w:pPr>
            <w:r>
              <w:rPr>
                <w:sz w:val="20"/>
              </w:rPr>
              <w:t>Extend to 23-quantile FluSight format by saving bootstrap quantiles at each horizon step</w:t>
            </w:r>
          </w:p>
        </w:tc>
      </w:tr>
      <w:tr>
        <w:tc>
          <w:tcPr>
            <w:tcW w:type="dxa" w:w="3168"/>
            <w:shd w:val="clear" w:color="auto" w:fill="EBF3FB"/>
          </w:tcPr>
          <w:p>
            <w:pPr>
              <w:spacing w:before="40" w:after="40"/>
              <w:jc w:val="left"/>
            </w:pPr>
            <w:r>
              <w:rPr>
                <w:sz w:val="20"/>
              </w:rPr>
              <w:t>Ensemble equal weights (1/3 each)</w:t>
            </w:r>
          </w:p>
        </w:tc>
        <w:tc>
          <w:tcPr>
            <w:tcW w:type="dxa" w:w="1440"/>
            <w:shd w:val="clear" w:color="auto" w:fill="EBF3FB"/>
          </w:tcPr>
          <w:p>
            <w:pPr>
              <w:spacing w:before="40" w:after="40"/>
              <w:jc w:val="left"/>
            </w:pPr>
            <w:r>
              <w:rPr>
                <w:b/>
                <w:sz w:val="20"/>
              </w:rPr>
              <w:t>MODIFY</w:t>
            </w:r>
          </w:p>
        </w:tc>
        <w:tc>
          <w:tcPr>
            <w:tcW w:type="dxa" w:w="4752"/>
            <w:shd w:val="clear" w:color="auto" w:fill="EBF3FB"/>
          </w:tcPr>
          <w:p>
            <w:pPr>
              <w:spacing w:before="40" w:after="40"/>
              <w:jc w:val="left"/>
            </w:pPr>
            <w:r>
              <w:rPr>
                <w:sz w:val="20"/>
              </w:rPr>
              <w:t>Replace with AWBE; keep equal-weight version as initialiser and fallback</w:t>
            </w:r>
          </w:p>
        </w:tc>
      </w:tr>
      <w:tr>
        <w:tc>
          <w:tcPr>
            <w:tcW w:type="dxa" w:w="3168"/>
            <w:shd w:val="clear" w:color="auto" w:fill="FFFFFF"/>
          </w:tcPr>
          <w:p>
            <w:pPr>
              <w:spacing w:before="40" w:after="40"/>
              <w:jc w:val="left"/>
            </w:pPr>
            <w:r>
              <w:rPr>
                <w:sz w:val="20"/>
              </w:rPr>
              <w:t>Climatological weather regressors</w:t>
            </w:r>
          </w:p>
        </w:tc>
        <w:tc>
          <w:tcPr>
            <w:tcW w:type="dxa" w:w="1440"/>
            <w:shd w:val="clear" w:color="auto" w:fill="FFFFFF"/>
          </w:tcPr>
          <w:p>
            <w:pPr>
              <w:spacing w:before="40" w:after="40"/>
              <w:jc w:val="left"/>
            </w:pPr>
            <w:r>
              <w:rPr>
                <w:b/>
                <w:sz w:val="20"/>
              </w:rPr>
              <w:t>MODIFY</w:t>
            </w:r>
          </w:p>
        </w:tc>
        <w:tc>
          <w:tcPr>
            <w:tcW w:type="dxa" w:w="4752"/>
            <w:shd w:val="clear" w:color="auto" w:fill="FFFFFF"/>
          </w:tcPr>
          <w:p>
            <w:pPr>
              <w:spacing w:before="40" w:after="40"/>
              <w:jc w:val="left"/>
            </w:pPr>
            <w:r>
              <w:rPr>
                <w:sz w:val="20"/>
              </w:rPr>
              <w:t>Replace with actual weekly HKO observed data; maintain z-score normalisation</w:t>
            </w:r>
          </w:p>
        </w:tc>
      </w:tr>
      <w:tr>
        <w:tc>
          <w:tcPr>
            <w:tcW w:type="dxa" w:w="3168"/>
            <w:shd w:val="clear" w:color="auto" w:fill="EBF3FB"/>
          </w:tcPr>
          <w:p>
            <w:pPr>
              <w:spacing w:before="40" w:after="40"/>
              <w:jc w:val="left"/>
            </w:pPr>
            <w:r>
              <w:rPr>
                <w:sz w:val="20"/>
              </w:rPr>
              <w:t>Scripts 01-06 (all stubs)</w:t>
            </w:r>
          </w:p>
        </w:tc>
        <w:tc>
          <w:tcPr>
            <w:tcW w:type="dxa" w:w="1440"/>
            <w:shd w:val="clear" w:color="auto" w:fill="EBF3FB"/>
          </w:tcPr>
          <w:p>
            <w:pPr>
              <w:spacing w:before="40" w:after="40"/>
              <w:jc w:val="left"/>
            </w:pPr>
            <w:r>
              <w:rPr>
                <w:b/>
                <w:sz w:val="20"/>
              </w:rPr>
              <w:t>REBUILD</w:t>
            </w:r>
          </w:p>
        </w:tc>
        <w:tc>
          <w:tcPr>
            <w:tcW w:type="dxa" w:w="4752"/>
            <w:shd w:val="clear" w:color="auto" w:fill="EBF3FB"/>
          </w:tcPr>
          <w:p>
            <w:pPr>
              <w:spacing w:before="40" w:after="40"/>
              <w:jc w:val="left"/>
            </w:pPr>
            <w:r>
              <w:rPr>
                <w:sz w:val="20"/>
              </w:rPr>
              <w:t>Must be fully reconstructed from pipeline logic; use outputs + model_coefficients.json to reverse-engineer</w:t>
            </w:r>
          </w:p>
        </w:tc>
      </w:tr>
      <w:tr>
        <w:tc>
          <w:tcPr>
            <w:tcW w:type="dxa" w:w="3168"/>
            <w:shd w:val="clear" w:color="auto" w:fill="FFFFFF"/>
          </w:tcPr>
          <w:p>
            <w:pPr>
              <w:spacing w:before="40" w:after="40"/>
              <w:jc w:val="left"/>
            </w:pPr>
            <w:r>
              <w:rPr>
                <w:sz w:val="20"/>
              </w:rPr>
              <w:t>ETL / data ingestion pipeline</w:t>
            </w:r>
          </w:p>
        </w:tc>
        <w:tc>
          <w:tcPr>
            <w:tcW w:type="dxa" w:w="1440"/>
            <w:shd w:val="clear" w:color="auto" w:fill="FFFFFF"/>
          </w:tcPr>
          <w:p>
            <w:pPr>
              <w:spacing w:before="40" w:after="40"/>
              <w:jc w:val="left"/>
            </w:pPr>
            <w:r>
              <w:rPr>
                <w:b/>
                <w:sz w:val="20"/>
              </w:rPr>
              <w:t>REBUILD</w:t>
            </w:r>
          </w:p>
        </w:tc>
        <w:tc>
          <w:tcPr>
            <w:tcW w:type="dxa" w:w="4752"/>
            <w:shd w:val="clear" w:color="auto" w:fill="FFFFFF"/>
          </w:tcPr>
          <w:p>
            <w:pPr>
              <w:spacing w:before="40" w:after="40"/>
              <w:jc w:val="left"/>
            </w:pPr>
            <w:r>
              <w:rPr>
                <w:sz w:val="20"/>
              </w:rPr>
              <w:t>Currently manual Excel import; need automated CHP scraping + FluNet API + HKO feed</w:t>
            </w:r>
          </w:p>
        </w:tc>
      </w:tr>
      <w:tr>
        <w:tc>
          <w:tcPr>
            <w:tcW w:type="dxa" w:w="3168"/>
            <w:shd w:val="clear" w:color="auto" w:fill="EBF3FB"/>
          </w:tcPr>
          <w:p>
            <w:pPr>
              <w:spacing w:before="40" w:after="40"/>
              <w:jc w:val="left"/>
            </w:pPr>
            <w:r>
              <w:rPr>
                <w:sz w:val="20"/>
              </w:rPr>
              <w:t>Hub architecture and submission spec</w:t>
            </w:r>
          </w:p>
        </w:tc>
        <w:tc>
          <w:tcPr>
            <w:tcW w:type="dxa" w:w="1440"/>
            <w:shd w:val="clear" w:color="auto" w:fill="EBF3FB"/>
          </w:tcPr>
          <w:p>
            <w:pPr>
              <w:spacing w:before="40" w:after="40"/>
              <w:jc w:val="left"/>
            </w:pPr>
            <w:r>
              <w:rPr>
                <w:b/>
                <w:sz w:val="20"/>
              </w:rPr>
              <w:t>REBUILD</w:t>
            </w:r>
          </w:p>
        </w:tc>
        <w:tc>
          <w:tcPr>
            <w:tcW w:type="dxa" w:w="4752"/>
            <w:shd w:val="clear" w:color="auto" w:fill="EBF3FB"/>
          </w:tcPr>
          <w:p>
            <w:pPr>
              <w:spacing w:before="40" w:after="40"/>
              <w:jc w:val="left"/>
            </w:pPr>
            <w:r>
              <w:rPr>
                <w:sz w:val="20"/>
              </w:rPr>
              <w:t>Does not exist; must be designed from scratch using FluSight as structural template</w:t>
            </w:r>
          </w:p>
        </w:tc>
      </w:tr>
      <w:tr>
        <w:tc>
          <w:tcPr>
            <w:tcW w:type="dxa" w:w="3168"/>
            <w:shd w:val="clear" w:color="auto" w:fill="FFFFFF"/>
          </w:tcPr>
          <w:p>
            <w:pPr>
              <w:spacing w:before="40" w:after="40"/>
              <w:jc w:val="left"/>
            </w:pPr>
            <w:r>
              <w:rPr>
                <w:sz w:val="20"/>
              </w:rPr>
              <w:t>Probabilistic quantile forecasting</w:t>
            </w:r>
          </w:p>
        </w:tc>
        <w:tc>
          <w:tcPr>
            <w:tcW w:type="dxa" w:w="1440"/>
            <w:shd w:val="clear" w:color="auto" w:fill="FFFFFF"/>
          </w:tcPr>
          <w:p>
            <w:pPr>
              <w:spacing w:before="40" w:after="40"/>
              <w:jc w:val="left"/>
            </w:pPr>
            <w:r>
              <w:rPr>
                <w:b/>
                <w:sz w:val="20"/>
              </w:rPr>
              <w:t>REBUILD</w:t>
            </w:r>
          </w:p>
        </w:tc>
        <w:tc>
          <w:tcPr>
            <w:tcW w:type="dxa" w:w="4752"/>
            <w:shd w:val="clear" w:color="auto" w:fill="FFFFFF"/>
          </w:tcPr>
          <w:p>
            <w:pPr>
              <w:spacing w:before="40" w:after="40"/>
              <w:jc w:val="left"/>
            </w:pPr>
            <w:r>
              <w:rPr>
                <w:sz w:val="20"/>
              </w:rPr>
              <w:t>Need to add quantile extraction from bootstrap draws across all 4 forecast horizons</w:t>
            </w:r>
          </w:p>
        </w:tc>
      </w:tr>
      <w:tr>
        <w:tc>
          <w:tcPr>
            <w:tcW w:type="dxa" w:w="3168"/>
            <w:shd w:val="clear" w:color="auto" w:fill="EBF3FB"/>
          </w:tcPr>
          <w:p>
            <w:pPr>
              <w:spacing w:before="40" w:after="40"/>
              <w:jc w:val="left"/>
            </w:pPr>
            <w:r>
              <w:rPr>
                <w:sz w:val="20"/>
              </w:rPr>
              <w:t>WIS scoring and wave-stratified evaluation</w:t>
            </w:r>
          </w:p>
        </w:tc>
        <w:tc>
          <w:tcPr>
            <w:tcW w:type="dxa" w:w="1440"/>
            <w:shd w:val="clear" w:color="auto" w:fill="EBF3FB"/>
          </w:tcPr>
          <w:p>
            <w:pPr>
              <w:spacing w:before="40" w:after="40"/>
              <w:jc w:val="left"/>
            </w:pPr>
            <w:r>
              <w:rPr>
                <w:b/>
                <w:sz w:val="20"/>
              </w:rPr>
              <w:t>REBUILD</w:t>
            </w:r>
          </w:p>
        </w:tc>
        <w:tc>
          <w:tcPr>
            <w:tcW w:type="dxa" w:w="4752"/>
            <w:shd w:val="clear" w:color="auto" w:fill="EBF3FB"/>
          </w:tcPr>
          <w:p>
            <w:pPr>
              <w:spacing w:before="40" w:after="40"/>
              <w:jc w:val="left"/>
            </w:pPr>
            <w:r>
              <w:rPr>
                <w:sz w:val="20"/>
              </w:rPr>
              <w:t>Currently only MAE/RMSE; WIS is the FluSight primary metric</w:t>
            </w:r>
          </w:p>
        </w:tc>
      </w:tr>
      <w:tr>
        <w:tc>
          <w:tcPr>
            <w:tcW w:type="dxa" w:w="3168"/>
            <w:shd w:val="clear" w:color="auto" w:fill="FFFFFF"/>
          </w:tcPr>
          <w:p>
            <w:pPr>
              <w:spacing w:before="40" w:after="40"/>
              <w:jc w:val="left"/>
            </w:pPr>
            <w:r>
              <w:rPr>
                <w:sz w:val="20"/>
              </w:rPr>
              <w:t>AWBE algorithm</w:t>
            </w:r>
          </w:p>
        </w:tc>
        <w:tc>
          <w:tcPr>
            <w:tcW w:type="dxa" w:w="1440"/>
            <w:shd w:val="clear" w:color="auto" w:fill="FFFFFF"/>
          </w:tcPr>
          <w:p>
            <w:pPr>
              <w:spacing w:before="40" w:after="40"/>
              <w:jc w:val="left"/>
            </w:pPr>
            <w:r>
              <w:rPr>
                <w:b/>
                <w:sz w:val="20"/>
              </w:rPr>
              <w:t>REBUILD</w:t>
            </w:r>
          </w:p>
        </w:tc>
        <w:tc>
          <w:tcPr>
            <w:tcW w:type="dxa" w:w="4752"/>
            <w:shd w:val="clear" w:color="auto" w:fill="FFFFFF"/>
          </w:tcPr>
          <w:p>
            <w:pPr>
              <w:spacing w:before="40" w:after="40"/>
              <w:jc w:val="left"/>
            </w:pPr>
            <w:r>
              <w:rPr>
                <w:sz w:val="20"/>
              </w:rPr>
              <w:t>Not yet implemented; requires sliding window performance tracking and weight solver</w:t>
            </w:r>
          </w:p>
        </w:tc>
      </w:tr>
      <w:tr>
        <w:tc>
          <w:tcPr>
            <w:tcW w:type="dxa" w:w="3168"/>
            <w:shd w:val="clear" w:color="auto" w:fill="EBF3FB"/>
          </w:tcPr>
          <w:p>
            <w:pPr>
              <w:spacing w:before="40" w:after="40"/>
              <w:jc w:val="left"/>
            </w:pPr>
            <w:r>
              <w:rPr>
                <w:sz w:val="20"/>
              </w:rPr>
              <w:t>Novel data streams (wastewater, travel, school)</w:t>
            </w:r>
          </w:p>
        </w:tc>
        <w:tc>
          <w:tcPr>
            <w:tcW w:type="dxa" w:w="1440"/>
            <w:shd w:val="clear" w:color="auto" w:fill="EBF3FB"/>
          </w:tcPr>
          <w:p>
            <w:pPr>
              <w:spacing w:before="40" w:after="40"/>
              <w:jc w:val="left"/>
            </w:pPr>
            <w:r>
              <w:rPr>
                <w:b/>
                <w:sz w:val="20"/>
              </w:rPr>
              <w:t>REBUILD</w:t>
            </w:r>
          </w:p>
        </w:tc>
        <w:tc>
          <w:tcPr>
            <w:tcW w:type="dxa" w:w="4752"/>
            <w:shd w:val="clear" w:color="auto" w:fill="EBF3FB"/>
          </w:tcPr>
          <w:p>
            <w:pPr>
              <w:spacing w:before="40" w:after="40"/>
              <w:jc w:val="left"/>
            </w:pPr>
            <w:r>
              <w:rPr>
                <w:sz w:val="20"/>
              </w:rPr>
              <w:t>Not currently in pipeline; requires new ETL connectors and model integration</w:t>
            </w:r>
          </w:p>
        </w:tc>
      </w:tr>
    </w:tbl>
    <w:p/>
    <w:p>
      <w:pPr>
        <w:pStyle w:val="Heading1"/>
        <w:spacing w:before="360" w:after="120"/>
      </w:pPr>
      <w:r>
        <w:rPr>
          <w:b/>
          <w:color w:val="00467F"/>
          <w:sz w:val="32"/>
        </w:rPr>
        <w:t>3. System Architecture</w:t>
      </w:r>
    </w:p>
    <w:p>
      <w:pPr>
        <w:spacing w:after="120" w:before="0"/>
      </w:pPr>
      <w:r>
        <w:rPr>
          <w:sz w:val="22"/>
        </w:rPr>
        <w:t>HK-FluEns follows a hub-and-spoke architecture with four logical layers: Data Infrastructure, Model Layer, Hub/Ensemble Layer, and Distribution Layer. The diagram below describes the components, data flows, and interfaces between modules.</w:t>
      </w:r>
    </w:p>
    <w:p>
      <w:pPr>
        <w:pStyle w:val="Heading2"/>
        <w:spacing w:before="240" w:after="80"/>
      </w:pPr>
      <w:r>
        <w:rPr>
          <w:b/>
          <w:color w:val="1F497D"/>
          <w:sz w:val="26"/>
        </w:rPr>
        <w:t>3.1  Architecture Overview (Text Diagram)</w:t>
      </w:r>
    </w:p>
    <w:p>
      <w:pPr>
        <w:spacing w:before="40" w:after="120"/>
      </w:pPr>
      <w:r>
        <w:rPr>
          <w:rFonts w:ascii="Courier New" w:hAnsi="Courier New"/>
          <w:sz w:val="15"/>
        </w:rPr>
        <w:t>┌──────────────────────────────────────────────────────────────────────────┐</w:t>
        <w:br/>
        <w:t>│                        DATA INFRASTRUCTURE LAYER                         │</w:t>
        <w:br/>
        <w:t>│                                                                          │</w:t>
        <w:br/>
        <w:t>│  ┌─────────────────┐  ┌──────────────────┐  ┌───────────────────────┐   │</w:t>
        <w:br/>
        <w:t>│  │  CHP Flu Express │  │  WHO FluNet API   │  │  Novel Data Streams   │   │</w:t>
        <w:br/>
        <w:t>│  │  (PDF → ETL)     │  │  (weekly pull)    │  │  ┌───────────────┐   │   │</w:t>
        <w:br/>
        <w:t>│  │  · ILI rates     │  │  · strain counts  │  │  │ Wastewater    │   │   │</w:t>
        <w:br/>
        <w:t>│  │  · positivity    │  │  · positivity     │  │  │ HKO weather   │   │   │</w:t>
        <w:br/>
        <w:t>│  │  · age groups    │  │  · specimens      │  │  │ School term   │   │   │</w:t>
        <w:br/>
        <w:t>│  └────────┬─────────┘  └────────┬──────────┘  │  │ Travel (HK-M) │   │   │</w:t>
        <w:br/>
        <w:t>│           │                     │              │  └───────────────┘   │   │</w:t>
        <w:br/>
        <w:t>│           └──────────┬──────────┘              └──────────┬───────────┘   │</w:t>
        <w:br/>
        <w:t>│                      ▼                                     ▼               │</w:t>
        <w:br/>
        <w:t>│              ┌────────────────────────────────────────────────────┐        │</w:t>
        <w:br/>
        <w:t>│              │           Master Dataset Store                     │        │</w:t>
        <w:br/>
        <w:t>│              │   processed_master_dataset.csv → versioned DB      │        │</w:t>
        <w:br/>
        <w:t>│              │   · 55+ columns, weekly, 2014-present              │        │</w:t>
        <w:br/>
        <w:t>│              │   · COVID gap flagged + imputed                     │        │</w:t>
        <w:br/>
        <w:t>│              │   · Standardised ISO week indexing                  │        │</w:t>
        <w:br/>
        <w:t>│              └──────────────────────────┬─────────────────────────┘        │</w:t>
        <w:br/>
        <w:t>└─────────────────────────────────────────┼────────────────────────────────┘</w:t>
        <w:br/>
        <w:t xml:space="preserve">                                          │</w:t>
        <w:br/>
        <w:t>┌─────────────────────────────────────────┼────────────────────────────────┐</w:t>
        <w:br/>
        <w:t>│                          MODEL LAYER    │                                 │</w:t>
        <w:br/>
        <w:t>│                                         ▼                                 │</w:t>
        <w:br/>
        <w:t>│  ┌──────────────────┐  ┌───────────────────────┐  ┌───────────────────┐  │</w:t>
        <w:br/>
        <w:t>│  │  Model A          │  │  Model B               │  │  Model C          │  │</w:t>
        <w:br/>
        <w:t>│  │  SARIMA(1,0,1)    │  │  ETS(A,A,A)            │  │  Gradient Boost   │  │</w:t>
        <w:br/>
        <w:t>│  │  (1,1,0)[52]      │  │  + bimodal seasonal    │  │  (XGBoost/LightGB)│  │</w:t>
        <w:br/>
        <w:t>│  │  + AH + temp      │  │  correction            │  │  + novel streams  │  │</w:t>
        <w:br/>
        <w:t>│  │  Statistical      │  │  Statistical           │  │  ML               │  │</w:t>
        <w:br/>
        <w:t>│  │  baseline         │  │  adaptive              │  │  feature-rich     │  │</w:t>
        <w:br/>
        <w:t>│  └────────┬──────────┘  └──────────┬─────────────┘  └────────┬──────────┘  │</w:t>
        <w:br/>
        <w:t>│           │                        │                          │              │</w:t>
        <w:br/>
        <w:t>│     Each model produces:           │                          │              │</w:t>
        <w:br/>
        <w:t>│     · 23-quantile forecast          │                          │              │</w:t>
        <w:br/>
        <w:t>│     · per horizon (1,2,3,4 wk)     │                          │              │</w:t>
        <w:br/>
        <w:t>│     · FluSight submission CSV      │                          │              │</w:t>
        <w:br/>
        <w:t>└───────────┼────────────────────────┼──────────────────────────┼────────────┘</w:t>
        <w:br/>
        <w:t xml:space="preserve">            │                        │                          │</w:t>
        <w:br/>
        <w:t>┌───────────┼────────────────────────┼──────────────────────────┼────────────┐</w:t>
        <w:br/>
        <w:t>│           ▼         HUB / ENSEMBLE LAYER                       ▼            │</w:t>
        <w:br/>
        <w:t>│  ┌─────────────────────────────────────────────────────────────────────┐    │</w:t>
        <w:br/>
        <w:t>│  │                      Submission Validator                           │    │</w:t>
        <w:br/>
        <w:t>│  │  · Schema check (ISO week, quantile levels, horizon)                │    │</w:t>
        <w:br/>
        <w:t>│  │  · Range plausibility (0-100% for positivity)                       │    │</w:t>
        <w:br/>
        <w:t>│  │  · Monotonicity of quantiles                                        │    │</w:t>
        <w:br/>
        <w:t>│  └────────────────────────────────┬────────────────────────────────────┘    │</w:t>
        <w:br/>
        <w:t>│                                   ▼                                         │</w:t>
        <w:br/>
        <w:t>│  ┌─────────────────────────────────────────────────────────────────────┐    │</w:t>
        <w:br/>
        <w:t>│  │                  AWBE Ensemble Engine                               │    │</w:t>
        <w:br/>
        <w:t>│  │  Adaptive Weight Blending Ensemble                                  │    │</w:t>
        <w:br/>
        <w:t>│  │  · Sliding window WIS tracking (last N weeks)                       │    │</w:t>
        <w:br/>
        <w:t>│  │  · Softmax weight solver                                            │    │</w:t>
        <w:br/>
        <w:t>│  │  · Fallback to equal weights if N &lt; min_history                     │    │</w:t>
        <w:br/>
        <w:t>│  │  · Produces: ensemble quantile forecast + model weight table        │    │</w:t>
        <w:br/>
        <w:t>│  └────────────────────────────────┬────────────────────────────────────┘    │</w:t>
        <w:br/>
        <w:t>│                                   ▼                                         │</w:t>
        <w:br/>
        <w:t>│  ┌─────────────────────────────────────────────────────────────────────┐    │</w:t>
        <w:br/>
        <w:t>│  │                  Evaluation Engine                                  │    │</w:t>
        <w:br/>
        <w:t>│  │  · WIS (primary), MAE, PI coverage                                  │    │</w:t>
        <w:br/>
        <w:t>│  │  · Wave-stratified: winter peak / summer peak / trough              │    │</w:t>
        <w:br/>
        <w:t>│  │  · Leave-one-season-out CV                                          │    │</w:t>
        <w:br/>
        <w:t>│  │  · Benchmark comparison (historical percentile)                     │    │</w:t>
        <w:br/>
        <w:t>│  └────────────────────────────────┬────────────────────────────────────┘    │</w:t>
        <w:br/>
        <w:t>└───────────────────────────────────┼─────────────────────────────────────────┘</w:t>
        <w:br/>
        <w:t xml:space="preserve">                                    │</w:t>
        <w:br/>
        <w:t>┌───────────────────────────────────┼─────────────────────────────────────────┐</w:t>
        <w:br/>
        <w:t>│                   DISTRIBUTION LAYER                                        │</w:t>
        <w:br/>
        <w:t>│                                   ▼                                         │</w:t>
        <w:br/>
        <w:t>│  ┌────────────────┐  ┌─────────────────────┐  ┌──────────────────────────┐  │</w:t>
        <w:br/>
        <w:t>│  │  Public API    │  │  CHP Dashboard      │  │  Research Archive        │  │</w:t>
        <w:br/>
        <w:t>│  │  (JSON/CSV)    │  │  (operational)      │  │  (GitHub + Zenodo)       │  │</w:t>
        <w:br/>
        <w:t>│  │  Machine-read  │  │  · peak alerts       │  │  · versioned forecasts   │  │</w:t>
        <w:br/>
        <w:t>│  │  · quantile    │  │  · severity signals  │  │  · evaluation scores     │  │</w:t>
        <w:br/>
        <w:t>│  │    forecasts   │  │  · wave onset        │  │  · model metadata        │  │</w:t>
        <w:br/>
        <w:t>│  └────────────────┘  └─────────────────────┘  └──────────────────────────┘  │</w:t>
        <w:br/>
        <w:t>└─────────────────────────────────────────────────────────────────────────────┘</w:t>
        <w:br/>
      </w:r>
    </w:p>
    <w:p>
      <w:pPr>
        <w:pStyle w:val="Heading2"/>
        <w:spacing w:before="240" w:after="80"/>
      </w:pPr>
      <w:r>
        <w:rPr>
          <w:b/>
          <w:color w:val="1F497D"/>
          <w:sz w:val="26"/>
        </w:rPr>
        <w:t>3.2  Key Interfaces and Data Contracts</w:t>
      </w:r>
    </w:p>
    <w:tbl>
      <w:tblPr>
        <w:tblStyle w:val="TableGrid"/>
        <w:tblW w:type="auto" w:w="0"/>
        <w:jc w:val="left"/>
        <w:tblLook w:firstColumn="1" w:firstRow="1" w:lastColumn="0" w:lastRow="0" w:noHBand="0" w:noVBand="1" w:val="04A0"/>
      </w:tblPr>
      <w:tblGrid>
        <w:gridCol w:w="2592"/>
        <w:gridCol w:w="2592"/>
        <w:gridCol w:w="4896"/>
      </w:tblGrid>
      <w:tr>
        <w:tc>
          <w:tcPr>
            <w:tcW w:type="dxa" w:w="2592"/>
            <w:shd w:val="clear" w:color="auto" w:fill="1F4978"/>
          </w:tcPr>
          <w:p>
            <w:pPr>
              <w:spacing w:before="60" w:after="60"/>
              <w:jc w:val="left"/>
            </w:pPr>
            <w:r>
              <w:rPr>
                <w:b/>
                <w:color w:val="FFFFFF"/>
                <w:sz w:val="20"/>
              </w:rPr>
              <w:t>Interface</w:t>
            </w:r>
          </w:p>
        </w:tc>
        <w:tc>
          <w:tcPr>
            <w:tcW w:type="dxa" w:w="2592"/>
            <w:shd w:val="clear" w:color="auto" w:fill="1F4978"/>
          </w:tcPr>
          <w:p>
            <w:pPr>
              <w:spacing w:before="60" w:after="60"/>
              <w:jc w:val="left"/>
            </w:pPr>
            <w:r>
              <w:rPr>
                <w:b/>
                <w:color w:val="FFFFFF"/>
                <w:sz w:val="20"/>
              </w:rPr>
              <w:t>From → To</w:t>
            </w:r>
          </w:p>
        </w:tc>
        <w:tc>
          <w:tcPr>
            <w:tcW w:type="dxa" w:w="4896"/>
            <w:shd w:val="clear" w:color="auto" w:fill="1F4978"/>
          </w:tcPr>
          <w:p>
            <w:pPr>
              <w:spacing w:before="60" w:after="60"/>
              <w:jc w:val="left"/>
            </w:pPr>
            <w:r>
              <w:rPr>
                <w:b/>
                <w:color w:val="FFFFFF"/>
                <w:sz w:val="20"/>
              </w:rPr>
              <w:t>Format / Contract</w:t>
            </w:r>
          </w:p>
        </w:tc>
      </w:tr>
      <w:tr>
        <w:tc>
          <w:tcPr>
            <w:tcW w:type="dxa" w:w="2592"/>
            <w:shd w:val="clear" w:color="auto" w:fill="FFFFFF"/>
          </w:tcPr>
          <w:p>
            <w:pPr>
              <w:spacing w:before="40" w:after="40"/>
              <w:jc w:val="left"/>
            </w:pPr>
            <w:r>
              <w:rPr>
                <w:sz w:val="20"/>
              </w:rPr>
              <w:t>CHP data ingestion</w:t>
            </w:r>
          </w:p>
        </w:tc>
        <w:tc>
          <w:tcPr>
            <w:tcW w:type="dxa" w:w="2592"/>
            <w:shd w:val="clear" w:color="auto" w:fill="FFFFFF"/>
          </w:tcPr>
          <w:p>
            <w:pPr>
              <w:spacing w:before="40" w:after="40"/>
              <w:jc w:val="left"/>
            </w:pPr>
            <w:r>
              <w:rPr>
                <w:sz w:val="20"/>
              </w:rPr>
              <w:t>CHP Flu Express PDF → Master Dataset</w:t>
            </w:r>
          </w:p>
        </w:tc>
        <w:tc>
          <w:tcPr>
            <w:tcW w:type="dxa" w:w="4896"/>
            <w:shd w:val="clear" w:color="auto" w:fill="FFFFFF"/>
          </w:tcPr>
          <w:p>
            <w:pPr>
              <w:spacing w:before="40" w:after="40"/>
              <w:jc w:val="left"/>
            </w:pPr>
            <w:r>
              <w:rPr>
                <w:sz w:val="20"/>
              </w:rPr>
              <w:t>Automated PDF scraper; weekly batch; ISO 8601 dates; ILI rate per 1,000 + positivity %</w:t>
            </w:r>
          </w:p>
        </w:tc>
      </w:tr>
      <w:tr>
        <w:tc>
          <w:tcPr>
            <w:tcW w:type="dxa" w:w="2592"/>
            <w:shd w:val="clear" w:color="auto" w:fill="EBF3FB"/>
          </w:tcPr>
          <w:p>
            <w:pPr>
              <w:spacing w:before="40" w:after="40"/>
              <w:jc w:val="left"/>
            </w:pPr>
            <w:r>
              <w:rPr>
                <w:sz w:val="20"/>
              </w:rPr>
              <w:t>FluNet pull</w:t>
            </w:r>
          </w:p>
        </w:tc>
        <w:tc>
          <w:tcPr>
            <w:tcW w:type="dxa" w:w="2592"/>
            <w:shd w:val="clear" w:color="auto" w:fill="EBF3FB"/>
          </w:tcPr>
          <w:p>
            <w:pPr>
              <w:spacing w:before="40" w:after="40"/>
              <w:jc w:val="left"/>
            </w:pPr>
            <w:r>
              <w:rPr>
                <w:sz w:val="20"/>
              </w:rPr>
              <w:t>WHO FluNet API → Master Dataset</w:t>
            </w:r>
          </w:p>
        </w:tc>
        <w:tc>
          <w:tcPr>
            <w:tcW w:type="dxa" w:w="4896"/>
            <w:shd w:val="clear" w:color="auto" w:fill="EBF3FB"/>
          </w:tcPr>
          <w:p>
            <w:pPr>
              <w:spacing w:before="40" w:after="40"/>
              <w:jc w:val="left"/>
            </w:pPr>
            <w:r>
              <w:rPr>
                <w:sz w:val="20"/>
              </w:rPr>
              <w:t>Weekly REST pull; columns: H1N1/H3N2/B counts, specimens, positivity by strain</w:t>
            </w:r>
          </w:p>
        </w:tc>
      </w:tr>
      <w:tr>
        <w:tc>
          <w:tcPr>
            <w:tcW w:type="dxa" w:w="2592"/>
            <w:shd w:val="clear" w:color="auto" w:fill="FFFFFF"/>
          </w:tcPr>
          <w:p>
            <w:pPr>
              <w:spacing w:before="40" w:after="40"/>
              <w:jc w:val="left"/>
            </w:pPr>
            <w:r>
              <w:rPr>
                <w:sz w:val="20"/>
              </w:rPr>
              <w:t>HKO weather feed</w:t>
            </w:r>
          </w:p>
        </w:tc>
        <w:tc>
          <w:tcPr>
            <w:tcW w:type="dxa" w:w="2592"/>
            <w:shd w:val="clear" w:color="auto" w:fill="FFFFFF"/>
          </w:tcPr>
          <w:p>
            <w:pPr>
              <w:spacing w:before="40" w:after="40"/>
              <w:jc w:val="left"/>
            </w:pPr>
            <w:r>
              <w:rPr>
                <w:sz w:val="20"/>
              </w:rPr>
              <w:t>HKO API/FTP → Master Dataset</w:t>
            </w:r>
          </w:p>
        </w:tc>
        <w:tc>
          <w:tcPr>
            <w:tcW w:type="dxa" w:w="4896"/>
            <w:shd w:val="clear" w:color="auto" w:fill="FFFFFF"/>
          </w:tcPr>
          <w:p>
            <w:pPr>
              <w:spacing w:before="40" w:after="40"/>
              <w:jc w:val="left"/>
            </w:pPr>
            <w:r>
              <w:rPr>
                <w:sz w:val="20"/>
              </w:rPr>
              <w:t>Weekly actual AH (g/kg), temp (°C), RH (%); replaces climatological normals</w:t>
            </w:r>
          </w:p>
        </w:tc>
      </w:tr>
      <w:tr>
        <w:tc>
          <w:tcPr>
            <w:tcW w:type="dxa" w:w="2592"/>
            <w:shd w:val="clear" w:color="auto" w:fill="EBF3FB"/>
          </w:tcPr>
          <w:p>
            <w:pPr>
              <w:spacing w:before="40" w:after="40"/>
              <w:jc w:val="left"/>
            </w:pPr>
            <w:r>
              <w:rPr>
                <w:sz w:val="20"/>
              </w:rPr>
              <w:t>Wastewater signal</w:t>
            </w:r>
          </w:p>
        </w:tc>
        <w:tc>
          <w:tcPr>
            <w:tcW w:type="dxa" w:w="2592"/>
            <w:shd w:val="clear" w:color="auto" w:fill="EBF3FB"/>
          </w:tcPr>
          <w:p>
            <w:pPr>
              <w:spacing w:before="40" w:after="40"/>
              <w:jc w:val="left"/>
            </w:pPr>
            <w:r>
              <w:rPr>
                <w:sz w:val="20"/>
              </w:rPr>
              <w:t>HKWQAA / HKU EPD → Master Dataset</w:t>
            </w:r>
          </w:p>
        </w:tc>
        <w:tc>
          <w:tcPr>
            <w:tcW w:type="dxa" w:w="4896"/>
            <w:shd w:val="clear" w:color="auto" w:fill="EBF3FB"/>
          </w:tcPr>
          <w:p>
            <w:pPr>
              <w:spacing w:before="40" w:after="40"/>
              <w:jc w:val="left"/>
            </w:pPr>
            <w:r>
              <w:rPr>
                <w:sz w:val="20"/>
              </w:rPr>
              <w:t>Weekly viral load (copies/mL); lag-adjusted; missing-value policy required</w:t>
            </w:r>
          </w:p>
        </w:tc>
      </w:tr>
      <w:tr>
        <w:tc>
          <w:tcPr>
            <w:tcW w:type="dxa" w:w="2592"/>
            <w:shd w:val="clear" w:color="auto" w:fill="FFFFFF"/>
          </w:tcPr>
          <w:p>
            <w:pPr>
              <w:spacing w:before="40" w:after="40"/>
              <w:jc w:val="left"/>
            </w:pPr>
            <w:r>
              <w:rPr>
                <w:sz w:val="20"/>
              </w:rPr>
              <w:t>Model submission</w:t>
            </w:r>
          </w:p>
        </w:tc>
        <w:tc>
          <w:tcPr>
            <w:tcW w:type="dxa" w:w="2592"/>
            <w:shd w:val="clear" w:color="auto" w:fill="FFFFFF"/>
          </w:tcPr>
          <w:p>
            <w:pPr>
              <w:spacing w:before="40" w:after="40"/>
              <w:jc w:val="left"/>
            </w:pPr>
            <w:r>
              <w:rPr>
                <w:sz w:val="20"/>
              </w:rPr>
              <w:t>Each model team → Hub validator</w:t>
            </w:r>
          </w:p>
        </w:tc>
        <w:tc>
          <w:tcPr>
            <w:tcW w:type="dxa" w:w="4896"/>
            <w:shd w:val="clear" w:color="auto" w:fill="FFFFFF"/>
          </w:tcPr>
          <w:p>
            <w:pPr>
              <w:spacing w:before="40" w:after="40"/>
              <w:jc w:val="left"/>
            </w:pPr>
            <w:r>
              <w:rPr>
                <w:sz w:val="20"/>
              </w:rPr>
              <w:t>FluSight CSV: columns = forecast_date, target, horizon, type (quantile/point), quantile, value</w:t>
            </w:r>
          </w:p>
        </w:tc>
      </w:tr>
      <w:tr>
        <w:tc>
          <w:tcPr>
            <w:tcW w:type="dxa" w:w="2592"/>
            <w:shd w:val="clear" w:color="auto" w:fill="EBF3FB"/>
          </w:tcPr>
          <w:p>
            <w:pPr>
              <w:spacing w:before="40" w:after="40"/>
              <w:jc w:val="left"/>
            </w:pPr>
            <w:r>
              <w:rPr>
                <w:sz w:val="20"/>
              </w:rPr>
              <w:t>Quantile levels</w:t>
            </w:r>
          </w:p>
        </w:tc>
        <w:tc>
          <w:tcPr>
            <w:tcW w:type="dxa" w:w="2592"/>
            <w:shd w:val="clear" w:color="auto" w:fill="EBF3FB"/>
          </w:tcPr>
          <w:p>
            <w:pPr>
              <w:spacing w:before="40" w:after="40"/>
              <w:jc w:val="left"/>
            </w:pPr>
            <w:r>
              <w:rPr>
                <w:sz w:val="20"/>
              </w:rPr>
              <w:t>Models → Hub</w:t>
            </w:r>
          </w:p>
        </w:tc>
        <w:tc>
          <w:tcPr>
            <w:tcW w:type="dxa" w:w="4896"/>
            <w:shd w:val="clear" w:color="auto" w:fill="EBF3FB"/>
          </w:tcPr>
          <w:p>
            <w:pPr>
              <w:spacing w:before="40" w:after="40"/>
              <w:jc w:val="left"/>
            </w:pPr>
            <w:r>
              <w:rPr>
                <w:sz w:val="20"/>
              </w:rPr>
              <w:t>23 quantiles: 0.01,0.025,0.05,0.10,0.15,...,0.85,0.90,0.95,0.975,0.99 + point estimate</w:t>
            </w:r>
          </w:p>
        </w:tc>
      </w:tr>
      <w:tr>
        <w:tc>
          <w:tcPr>
            <w:tcW w:type="dxa" w:w="2592"/>
            <w:shd w:val="clear" w:color="auto" w:fill="FFFFFF"/>
          </w:tcPr>
          <w:p>
            <w:pPr>
              <w:spacing w:before="40" w:after="40"/>
              <w:jc w:val="left"/>
            </w:pPr>
            <w:r>
              <w:rPr>
                <w:sz w:val="20"/>
              </w:rPr>
              <w:t>Forecast targets</w:t>
            </w:r>
          </w:p>
        </w:tc>
        <w:tc>
          <w:tcPr>
            <w:tcW w:type="dxa" w:w="2592"/>
            <w:shd w:val="clear" w:color="auto" w:fill="FFFFFF"/>
          </w:tcPr>
          <w:p>
            <w:pPr>
              <w:spacing w:before="40" w:after="40"/>
              <w:jc w:val="left"/>
            </w:pPr>
            <w:r>
              <w:rPr>
                <w:sz w:val="20"/>
              </w:rPr>
              <w:t>Hub → Distribution</w:t>
            </w:r>
          </w:p>
        </w:tc>
        <w:tc>
          <w:tcPr>
            <w:tcW w:type="dxa" w:w="4896"/>
            <w:shd w:val="clear" w:color="auto" w:fill="FFFFFF"/>
          </w:tcPr>
          <w:p>
            <w:pPr>
              <w:spacing w:before="40" w:after="40"/>
              <w:jc w:val="left"/>
            </w:pPr>
            <w:r>
              <w:rPr>
                <w:sz w:val="20"/>
              </w:rPr>
              <w:t>Primary: weekly lab positivity %; Secondary: GOPC ILI rate per 1,000; Horizons: 1-4 weeks</w:t>
            </w:r>
          </w:p>
        </w:tc>
      </w:tr>
      <w:tr>
        <w:tc>
          <w:tcPr>
            <w:tcW w:type="dxa" w:w="2592"/>
            <w:shd w:val="clear" w:color="auto" w:fill="EBF3FB"/>
          </w:tcPr>
          <w:p>
            <w:pPr>
              <w:spacing w:before="40" w:after="40"/>
              <w:jc w:val="left"/>
            </w:pPr>
            <w:r>
              <w:rPr>
                <w:sz w:val="20"/>
              </w:rPr>
              <w:t>AWBE weight table</w:t>
            </w:r>
          </w:p>
        </w:tc>
        <w:tc>
          <w:tcPr>
            <w:tcW w:type="dxa" w:w="2592"/>
            <w:shd w:val="clear" w:color="auto" w:fill="EBF3FB"/>
          </w:tcPr>
          <w:p>
            <w:pPr>
              <w:spacing w:before="40" w:after="40"/>
              <w:jc w:val="left"/>
            </w:pPr>
            <w:r>
              <w:rPr>
                <w:sz w:val="20"/>
              </w:rPr>
              <w:t>Ensemble engine → Archive</w:t>
            </w:r>
          </w:p>
        </w:tc>
        <w:tc>
          <w:tcPr>
            <w:tcW w:type="dxa" w:w="4896"/>
            <w:shd w:val="clear" w:color="auto" w:fill="EBF3FB"/>
          </w:tcPr>
          <w:p>
            <w:pPr>
              <w:spacing w:before="40" w:after="40"/>
              <w:jc w:val="left"/>
            </w:pPr>
            <w:r>
              <w:rPr>
                <w:sz w:val="20"/>
              </w:rPr>
              <w:t>Weekly JSON: model_id, weight, rolling_WIS, n_obs_in_window</w:t>
            </w:r>
          </w:p>
        </w:tc>
      </w:tr>
      <w:tr>
        <w:tc>
          <w:tcPr>
            <w:tcW w:type="dxa" w:w="2592"/>
            <w:shd w:val="clear" w:color="auto" w:fill="FFFFFF"/>
          </w:tcPr>
          <w:p>
            <w:pPr>
              <w:spacing w:before="40" w:after="40"/>
              <w:jc w:val="left"/>
            </w:pPr>
            <w:r>
              <w:rPr>
                <w:sz w:val="20"/>
              </w:rPr>
              <w:t>Public API response</w:t>
            </w:r>
          </w:p>
        </w:tc>
        <w:tc>
          <w:tcPr>
            <w:tcW w:type="dxa" w:w="2592"/>
            <w:shd w:val="clear" w:color="auto" w:fill="FFFFFF"/>
          </w:tcPr>
          <w:p>
            <w:pPr>
              <w:spacing w:before="40" w:after="40"/>
              <w:jc w:val="left"/>
            </w:pPr>
            <w:r>
              <w:rPr>
                <w:sz w:val="20"/>
              </w:rPr>
              <w:t>Hub → External users</w:t>
            </w:r>
          </w:p>
        </w:tc>
        <w:tc>
          <w:tcPr>
            <w:tcW w:type="dxa" w:w="4896"/>
            <w:shd w:val="clear" w:color="auto" w:fill="FFFFFF"/>
          </w:tcPr>
          <w:p>
            <w:pPr>
              <w:spacing w:before="40" w:after="40"/>
              <w:jc w:val="left"/>
            </w:pPr>
            <w:r>
              <w:rPr>
                <w:sz w:val="20"/>
              </w:rPr>
              <w:t>JSON: {forecast_date, target, horizon, quantiles: {0.01:..., 0.5:..., 0.99:...}}</w:t>
            </w:r>
          </w:p>
        </w:tc>
      </w:tr>
    </w:tbl>
    <w:p/>
    <w:p>
      <w:pPr>
        <w:pStyle w:val="Heading2"/>
        <w:spacing w:before="240" w:after="80"/>
      </w:pPr>
      <w:r>
        <w:rPr>
          <w:b/>
          <w:color w:val="1F497D"/>
          <w:sz w:val="26"/>
        </w:rPr>
        <w:t>3.3  Module Dependencies</w:t>
      </w:r>
    </w:p>
    <w:p>
      <w:pPr>
        <w:spacing w:after="120" w:before="0"/>
      </w:pPr>
      <w:r>
        <w:rPr>
          <w:sz w:val="22"/>
        </w:rPr>
        <w:t>The dependency graph determines the sequencing of implementation. A module cannot be built until all its upstream dependencies are complete.</w:t>
      </w:r>
    </w:p>
    <w:tbl>
      <w:tblPr>
        <w:tblStyle w:val="TableGrid"/>
        <w:tblW w:type="auto" w:w="0"/>
        <w:jc w:val="left"/>
        <w:tblLook w:firstColumn="1" w:firstRow="1" w:lastColumn="0" w:lastRow="0" w:noHBand="0" w:noVBand="1" w:val="04A0"/>
      </w:tblPr>
      <w:tblGrid>
        <w:gridCol w:w="3024"/>
        <w:gridCol w:w="3456"/>
        <w:gridCol w:w="3600"/>
      </w:tblGrid>
      <w:tr>
        <w:tc>
          <w:tcPr>
            <w:tcW w:type="dxa" w:w="3024"/>
            <w:shd w:val="clear" w:color="auto" w:fill="1F4978"/>
          </w:tcPr>
          <w:p>
            <w:pPr>
              <w:spacing w:before="60" w:after="60"/>
              <w:jc w:val="left"/>
            </w:pPr>
            <w:r>
              <w:rPr>
                <w:b/>
                <w:color w:val="FFFFFF"/>
                <w:sz w:val="20"/>
              </w:rPr>
              <w:t>Module</w:t>
            </w:r>
          </w:p>
        </w:tc>
        <w:tc>
          <w:tcPr>
            <w:tcW w:type="dxa" w:w="3456"/>
            <w:shd w:val="clear" w:color="auto" w:fill="1F4978"/>
          </w:tcPr>
          <w:p>
            <w:pPr>
              <w:spacing w:before="60" w:after="60"/>
              <w:jc w:val="left"/>
            </w:pPr>
            <w:r>
              <w:rPr>
                <w:b/>
                <w:color w:val="FFFFFF"/>
                <w:sz w:val="20"/>
              </w:rPr>
              <w:t>Depends On</w:t>
            </w:r>
          </w:p>
        </w:tc>
        <w:tc>
          <w:tcPr>
            <w:tcW w:type="dxa" w:w="3600"/>
            <w:shd w:val="clear" w:color="auto" w:fill="1F4978"/>
          </w:tcPr>
          <w:p>
            <w:pPr>
              <w:spacing w:before="60" w:after="60"/>
              <w:jc w:val="left"/>
            </w:pPr>
            <w:r>
              <w:rPr>
                <w:b/>
                <w:color w:val="FFFFFF"/>
                <w:sz w:val="20"/>
              </w:rPr>
              <w:t>Blocking For</w:t>
            </w:r>
          </w:p>
        </w:tc>
      </w:tr>
      <w:tr>
        <w:tc>
          <w:tcPr>
            <w:tcW w:type="dxa" w:w="3024"/>
            <w:shd w:val="clear" w:color="auto" w:fill="FFFFFF"/>
          </w:tcPr>
          <w:p>
            <w:pPr>
              <w:spacing w:before="40" w:after="40"/>
              <w:jc w:val="left"/>
            </w:pPr>
            <w:r>
              <w:rPr>
                <w:sz w:val="20"/>
              </w:rPr>
              <w:t>CHP ETL pipeline</w:t>
            </w:r>
          </w:p>
        </w:tc>
        <w:tc>
          <w:tcPr>
            <w:tcW w:type="dxa" w:w="3456"/>
            <w:shd w:val="clear" w:color="auto" w:fill="FFFFFF"/>
          </w:tcPr>
          <w:p>
            <w:pPr>
              <w:spacing w:before="40" w:after="40"/>
              <w:jc w:val="left"/>
            </w:pPr>
            <w:r>
              <w:rPr>
                <w:sz w:val="20"/>
              </w:rPr>
              <w:t>CHP website access, PDF parser</w:t>
            </w:r>
          </w:p>
        </w:tc>
        <w:tc>
          <w:tcPr>
            <w:tcW w:type="dxa" w:w="3600"/>
            <w:shd w:val="clear" w:color="auto" w:fill="FFFFFF"/>
          </w:tcPr>
          <w:p>
            <w:pPr>
              <w:spacing w:before="40" w:after="40"/>
              <w:jc w:val="left"/>
            </w:pPr>
            <w:r>
              <w:rPr>
                <w:sz w:val="20"/>
              </w:rPr>
              <w:t>All models, Master Dataset</w:t>
            </w:r>
          </w:p>
        </w:tc>
      </w:tr>
      <w:tr>
        <w:tc>
          <w:tcPr>
            <w:tcW w:type="dxa" w:w="3024"/>
            <w:shd w:val="clear" w:color="auto" w:fill="EBF3FB"/>
          </w:tcPr>
          <w:p>
            <w:pPr>
              <w:spacing w:before="40" w:after="40"/>
              <w:jc w:val="left"/>
            </w:pPr>
            <w:r>
              <w:rPr>
                <w:sz w:val="20"/>
              </w:rPr>
              <w:t>Master Dataset schema v2</w:t>
            </w:r>
          </w:p>
        </w:tc>
        <w:tc>
          <w:tcPr>
            <w:tcW w:type="dxa" w:w="3456"/>
            <w:shd w:val="clear" w:color="auto" w:fill="EBF3FB"/>
          </w:tcPr>
          <w:p>
            <w:pPr>
              <w:spacing w:before="40" w:after="40"/>
              <w:jc w:val="left"/>
            </w:pPr>
            <w:r>
              <w:rPr>
                <w:sz w:val="20"/>
              </w:rPr>
              <w:t>CHP ETL, FluNet pull, HKO feed</w:t>
            </w:r>
          </w:p>
        </w:tc>
        <w:tc>
          <w:tcPr>
            <w:tcW w:type="dxa" w:w="3600"/>
            <w:shd w:val="clear" w:color="auto" w:fill="EBF3FB"/>
          </w:tcPr>
          <w:p>
            <w:pPr>
              <w:spacing w:before="40" w:after="40"/>
              <w:jc w:val="left"/>
            </w:pPr>
            <w:r>
              <w:rPr>
                <w:sz w:val="20"/>
              </w:rPr>
              <w:t>All models, Ensemble engine</w:t>
            </w:r>
          </w:p>
        </w:tc>
      </w:tr>
      <w:tr>
        <w:tc>
          <w:tcPr>
            <w:tcW w:type="dxa" w:w="3024"/>
            <w:shd w:val="clear" w:color="auto" w:fill="FFFFFF"/>
          </w:tcPr>
          <w:p>
            <w:pPr>
              <w:spacing w:before="40" w:after="40"/>
              <w:jc w:val="left"/>
            </w:pPr>
            <w:r>
              <w:rPr>
                <w:sz w:val="20"/>
              </w:rPr>
              <w:t>Target variable definition</w:t>
            </w:r>
          </w:p>
        </w:tc>
        <w:tc>
          <w:tcPr>
            <w:tcW w:type="dxa" w:w="3456"/>
            <w:shd w:val="clear" w:color="auto" w:fill="FFFFFF"/>
          </w:tcPr>
          <w:p>
            <w:pPr>
              <w:spacing w:before="40" w:after="40"/>
              <w:jc w:val="left"/>
            </w:pPr>
            <w:r>
              <w:rPr>
                <w:sz w:val="20"/>
              </w:rPr>
              <w:t>CHP ETL, stakeholder agreement</w:t>
            </w:r>
          </w:p>
        </w:tc>
        <w:tc>
          <w:tcPr>
            <w:tcW w:type="dxa" w:w="3600"/>
            <w:shd w:val="clear" w:color="auto" w:fill="FFFFFF"/>
          </w:tcPr>
          <w:p>
            <w:pPr>
              <w:spacing w:before="40" w:after="40"/>
              <w:jc w:val="left"/>
            </w:pPr>
            <w:r>
              <w:rPr>
                <w:sz w:val="20"/>
              </w:rPr>
              <w:t>All model training, Hub validator</w:t>
            </w:r>
          </w:p>
        </w:tc>
      </w:tr>
      <w:tr>
        <w:tc>
          <w:tcPr>
            <w:tcW w:type="dxa" w:w="3024"/>
            <w:shd w:val="clear" w:color="auto" w:fill="EBF3FB"/>
          </w:tcPr>
          <w:p>
            <w:pPr>
              <w:spacing w:before="40" w:after="40"/>
              <w:jc w:val="left"/>
            </w:pPr>
            <w:r>
              <w:rPr>
                <w:sz w:val="20"/>
              </w:rPr>
              <w:t>SARIMA model (rebuilt)</w:t>
            </w:r>
          </w:p>
        </w:tc>
        <w:tc>
          <w:tcPr>
            <w:tcW w:type="dxa" w:w="3456"/>
            <w:shd w:val="clear" w:color="auto" w:fill="EBF3FB"/>
          </w:tcPr>
          <w:p>
            <w:pPr>
              <w:spacing w:before="40" w:after="40"/>
              <w:jc w:val="left"/>
            </w:pPr>
            <w:r>
              <w:rPr>
                <w:sz w:val="20"/>
              </w:rPr>
              <w:t>Master Dataset, target definition</w:t>
            </w:r>
          </w:p>
        </w:tc>
        <w:tc>
          <w:tcPr>
            <w:tcW w:type="dxa" w:w="3600"/>
            <w:shd w:val="clear" w:color="auto" w:fill="EBF3FB"/>
          </w:tcPr>
          <w:p>
            <w:pPr>
              <w:spacing w:before="40" w:after="40"/>
              <w:jc w:val="left"/>
            </w:pPr>
            <w:r>
              <w:rPr>
                <w:sz w:val="20"/>
              </w:rPr>
              <w:t>Ensemble, CV evaluation</w:t>
            </w:r>
          </w:p>
        </w:tc>
      </w:tr>
      <w:tr>
        <w:tc>
          <w:tcPr>
            <w:tcW w:type="dxa" w:w="3024"/>
            <w:shd w:val="clear" w:color="auto" w:fill="FFFFFF"/>
          </w:tcPr>
          <w:p>
            <w:pPr>
              <w:spacing w:before="40" w:after="40"/>
              <w:jc w:val="left"/>
            </w:pPr>
            <w:r>
              <w:rPr>
                <w:sz w:val="20"/>
              </w:rPr>
              <w:t>ETS(A,A,A) (existing)</w:t>
            </w:r>
          </w:p>
        </w:tc>
        <w:tc>
          <w:tcPr>
            <w:tcW w:type="dxa" w:w="3456"/>
            <w:shd w:val="clear" w:color="auto" w:fill="FFFFFF"/>
          </w:tcPr>
          <w:p>
            <w:pPr>
              <w:spacing w:before="40" w:after="40"/>
              <w:jc w:val="left"/>
            </w:pPr>
            <w:r>
              <w:rPr>
                <w:sz w:val="20"/>
              </w:rPr>
              <w:t>Master Dataset (RETAIN)</w:t>
            </w:r>
          </w:p>
        </w:tc>
        <w:tc>
          <w:tcPr>
            <w:tcW w:type="dxa" w:w="3600"/>
            <w:shd w:val="clear" w:color="auto" w:fill="FFFFFF"/>
          </w:tcPr>
          <w:p>
            <w:pPr>
              <w:spacing w:before="40" w:after="40"/>
              <w:jc w:val="left"/>
            </w:pPr>
            <w:r>
              <w:rPr>
                <w:sz w:val="20"/>
              </w:rPr>
              <w:t>Ensemble (already works)</w:t>
            </w:r>
          </w:p>
        </w:tc>
      </w:tr>
      <w:tr>
        <w:tc>
          <w:tcPr>
            <w:tcW w:type="dxa" w:w="3024"/>
            <w:shd w:val="clear" w:color="auto" w:fill="EBF3FB"/>
          </w:tcPr>
          <w:p>
            <w:pPr>
              <w:spacing w:before="40" w:after="40"/>
              <w:jc w:val="left"/>
            </w:pPr>
            <w:r>
              <w:rPr>
                <w:sz w:val="20"/>
              </w:rPr>
              <w:t>Gradient Boosting model</w:t>
            </w:r>
          </w:p>
        </w:tc>
        <w:tc>
          <w:tcPr>
            <w:tcW w:type="dxa" w:w="3456"/>
            <w:shd w:val="clear" w:color="auto" w:fill="EBF3FB"/>
          </w:tcPr>
          <w:p>
            <w:pPr>
              <w:spacing w:before="40" w:after="40"/>
              <w:jc w:val="left"/>
            </w:pPr>
            <w:r>
              <w:rPr>
                <w:sz w:val="20"/>
              </w:rPr>
              <w:t>Master Dataset + novel streams</w:t>
            </w:r>
          </w:p>
        </w:tc>
        <w:tc>
          <w:tcPr>
            <w:tcW w:type="dxa" w:w="3600"/>
            <w:shd w:val="clear" w:color="auto" w:fill="EBF3FB"/>
          </w:tcPr>
          <w:p>
            <w:pPr>
              <w:spacing w:before="40" w:after="40"/>
              <w:jc w:val="left"/>
            </w:pPr>
            <w:r>
              <w:rPr>
                <w:sz w:val="20"/>
              </w:rPr>
              <w:t>Ensemble, CV evaluation</w:t>
            </w:r>
          </w:p>
        </w:tc>
      </w:tr>
      <w:tr>
        <w:tc>
          <w:tcPr>
            <w:tcW w:type="dxa" w:w="3024"/>
            <w:shd w:val="clear" w:color="auto" w:fill="FFFFFF"/>
          </w:tcPr>
          <w:p>
            <w:pPr>
              <w:spacing w:before="40" w:after="40"/>
              <w:jc w:val="left"/>
            </w:pPr>
            <w:r>
              <w:rPr>
                <w:sz w:val="20"/>
              </w:rPr>
              <w:t>Bootstrap quantile extractor</w:t>
            </w:r>
          </w:p>
        </w:tc>
        <w:tc>
          <w:tcPr>
            <w:tcW w:type="dxa" w:w="3456"/>
            <w:shd w:val="clear" w:color="auto" w:fill="FFFFFF"/>
          </w:tcPr>
          <w:p>
            <w:pPr>
              <w:spacing w:before="40" w:after="40"/>
              <w:jc w:val="left"/>
            </w:pPr>
            <w:r>
              <w:rPr>
                <w:sz w:val="20"/>
              </w:rPr>
              <w:t>Any fitted model</w:t>
            </w:r>
          </w:p>
        </w:tc>
        <w:tc>
          <w:tcPr>
            <w:tcW w:type="dxa" w:w="3600"/>
            <w:shd w:val="clear" w:color="auto" w:fill="FFFFFF"/>
          </w:tcPr>
          <w:p>
            <w:pPr>
              <w:spacing w:before="40" w:after="40"/>
              <w:jc w:val="left"/>
            </w:pPr>
            <w:r>
              <w:rPr>
                <w:sz w:val="20"/>
              </w:rPr>
              <w:t>FluSight-format submission, WIS scoring</w:t>
            </w:r>
          </w:p>
        </w:tc>
      </w:tr>
      <w:tr>
        <w:tc>
          <w:tcPr>
            <w:tcW w:type="dxa" w:w="3024"/>
            <w:shd w:val="clear" w:color="auto" w:fill="EBF3FB"/>
          </w:tcPr>
          <w:p>
            <w:pPr>
              <w:spacing w:before="40" w:after="40"/>
              <w:jc w:val="left"/>
            </w:pPr>
            <w:r>
              <w:rPr>
                <w:sz w:val="20"/>
              </w:rPr>
              <w:t>Hub validator</w:t>
            </w:r>
          </w:p>
        </w:tc>
        <w:tc>
          <w:tcPr>
            <w:tcW w:type="dxa" w:w="3456"/>
            <w:shd w:val="clear" w:color="auto" w:fill="EBF3FB"/>
          </w:tcPr>
          <w:p>
            <w:pPr>
              <w:spacing w:before="40" w:after="40"/>
              <w:jc w:val="left"/>
            </w:pPr>
            <w:r>
              <w:rPr>
                <w:sz w:val="20"/>
              </w:rPr>
              <w:t>Target definition, quantile spec</w:t>
            </w:r>
          </w:p>
        </w:tc>
        <w:tc>
          <w:tcPr>
            <w:tcW w:type="dxa" w:w="3600"/>
            <w:shd w:val="clear" w:color="auto" w:fill="EBF3FB"/>
          </w:tcPr>
          <w:p>
            <w:pPr>
              <w:spacing w:before="40" w:after="40"/>
              <w:jc w:val="left"/>
            </w:pPr>
            <w:r>
              <w:rPr>
                <w:sz w:val="20"/>
              </w:rPr>
              <w:t>AWBE engine, evaluation</w:t>
            </w:r>
          </w:p>
        </w:tc>
      </w:tr>
      <w:tr>
        <w:tc>
          <w:tcPr>
            <w:tcW w:type="dxa" w:w="3024"/>
            <w:shd w:val="clear" w:color="auto" w:fill="FFFFFF"/>
          </w:tcPr>
          <w:p>
            <w:pPr>
              <w:spacing w:before="40" w:after="40"/>
              <w:jc w:val="left"/>
            </w:pPr>
            <w:r>
              <w:rPr>
                <w:sz w:val="20"/>
              </w:rPr>
              <w:t>AWBE engine</w:t>
            </w:r>
          </w:p>
        </w:tc>
        <w:tc>
          <w:tcPr>
            <w:tcW w:type="dxa" w:w="3456"/>
            <w:shd w:val="clear" w:color="auto" w:fill="FFFFFF"/>
          </w:tcPr>
          <w:p>
            <w:pPr>
              <w:spacing w:before="40" w:after="40"/>
              <w:jc w:val="left"/>
            </w:pPr>
            <w:r>
              <w:rPr>
                <w:sz w:val="20"/>
              </w:rPr>
              <w:t>Hub validator, WIS scoring, ≥3 models</w:t>
            </w:r>
          </w:p>
        </w:tc>
        <w:tc>
          <w:tcPr>
            <w:tcW w:type="dxa" w:w="3600"/>
            <w:shd w:val="clear" w:color="auto" w:fill="FFFFFF"/>
          </w:tcPr>
          <w:p>
            <w:pPr>
              <w:spacing w:before="40" w:after="40"/>
              <w:jc w:val="left"/>
            </w:pPr>
            <w:r>
              <w:rPr>
                <w:sz w:val="20"/>
              </w:rPr>
              <w:t>Ensemble forecast output</w:t>
            </w:r>
          </w:p>
        </w:tc>
      </w:tr>
      <w:tr>
        <w:tc>
          <w:tcPr>
            <w:tcW w:type="dxa" w:w="3024"/>
            <w:shd w:val="clear" w:color="auto" w:fill="EBF3FB"/>
          </w:tcPr>
          <w:p>
            <w:pPr>
              <w:spacing w:before="40" w:after="40"/>
              <w:jc w:val="left"/>
            </w:pPr>
            <w:r>
              <w:rPr>
                <w:sz w:val="20"/>
              </w:rPr>
              <w:t>WIS scoring</w:t>
            </w:r>
          </w:p>
        </w:tc>
        <w:tc>
          <w:tcPr>
            <w:tcW w:type="dxa" w:w="3456"/>
            <w:shd w:val="clear" w:color="auto" w:fill="EBF3FB"/>
          </w:tcPr>
          <w:p>
            <w:pPr>
              <w:spacing w:before="40" w:after="40"/>
              <w:jc w:val="left"/>
            </w:pPr>
            <w:r>
              <w:rPr>
                <w:sz w:val="20"/>
              </w:rPr>
              <w:t>Quantile submissions, actuals</w:t>
            </w:r>
          </w:p>
        </w:tc>
        <w:tc>
          <w:tcPr>
            <w:tcW w:type="dxa" w:w="3600"/>
            <w:shd w:val="clear" w:color="auto" w:fill="EBF3FB"/>
          </w:tcPr>
          <w:p>
            <w:pPr>
              <w:spacing w:before="40" w:after="40"/>
              <w:jc w:val="left"/>
            </w:pPr>
            <w:r>
              <w:rPr>
                <w:sz w:val="20"/>
              </w:rPr>
              <w:t>AWBE engine, evaluation reports</w:t>
            </w:r>
          </w:p>
        </w:tc>
      </w:tr>
      <w:tr>
        <w:tc>
          <w:tcPr>
            <w:tcW w:type="dxa" w:w="3024"/>
            <w:shd w:val="clear" w:color="auto" w:fill="FFFFFF"/>
          </w:tcPr>
          <w:p>
            <w:pPr>
              <w:spacing w:before="40" w:after="40"/>
              <w:jc w:val="left"/>
            </w:pPr>
            <w:r>
              <w:rPr>
                <w:sz w:val="20"/>
              </w:rPr>
              <w:t>Wave-stratified evaluator</w:t>
            </w:r>
          </w:p>
        </w:tc>
        <w:tc>
          <w:tcPr>
            <w:tcW w:type="dxa" w:w="3456"/>
            <w:shd w:val="clear" w:color="auto" w:fill="FFFFFF"/>
          </w:tcPr>
          <w:p>
            <w:pPr>
              <w:spacing w:before="40" w:after="40"/>
              <w:jc w:val="left"/>
            </w:pPr>
            <w:r>
              <w:rPr>
                <w:sz w:val="20"/>
              </w:rPr>
              <w:t>WIS scoring, wave detection logic</w:t>
            </w:r>
          </w:p>
        </w:tc>
        <w:tc>
          <w:tcPr>
            <w:tcW w:type="dxa" w:w="3600"/>
            <w:shd w:val="clear" w:color="auto" w:fill="FFFFFF"/>
          </w:tcPr>
          <w:p>
            <w:pPr>
              <w:spacing w:before="40" w:after="40"/>
              <w:jc w:val="left"/>
            </w:pPr>
            <w:r>
              <w:rPr>
                <w:sz w:val="20"/>
              </w:rPr>
              <w:t>Seasonal performance reports</w:t>
            </w:r>
          </w:p>
        </w:tc>
      </w:tr>
      <w:tr>
        <w:tc>
          <w:tcPr>
            <w:tcW w:type="dxa" w:w="3024"/>
            <w:shd w:val="clear" w:color="auto" w:fill="EBF3FB"/>
          </w:tcPr>
          <w:p>
            <w:pPr>
              <w:spacing w:before="40" w:after="40"/>
              <w:jc w:val="left"/>
            </w:pPr>
            <w:r>
              <w:rPr>
                <w:sz w:val="20"/>
              </w:rPr>
              <w:t>Public API</w:t>
            </w:r>
          </w:p>
        </w:tc>
        <w:tc>
          <w:tcPr>
            <w:tcW w:type="dxa" w:w="3456"/>
            <w:shd w:val="clear" w:color="auto" w:fill="EBF3FB"/>
          </w:tcPr>
          <w:p>
            <w:pPr>
              <w:spacing w:before="40" w:after="40"/>
              <w:jc w:val="left"/>
            </w:pPr>
            <w:r>
              <w:rPr>
                <w:sz w:val="20"/>
              </w:rPr>
              <w:t>Hub validator, ensemble engine</w:t>
            </w:r>
          </w:p>
        </w:tc>
        <w:tc>
          <w:tcPr>
            <w:tcW w:type="dxa" w:w="3600"/>
            <w:shd w:val="clear" w:color="auto" w:fill="EBF3FB"/>
          </w:tcPr>
          <w:p>
            <w:pPr>
              <w:spacing w:before="40" w:after="40"/>
              <w:jc w:val="left"/>
            </w:pPr>
            <w:r>
              <w:rPr>
                <w:sz w:val="20"/>
              </w:rPr>
              <w:t>CHP operational integration</w:t>
            </w:r>
          </w:p>
        </w:tc>
      </w:tr>
      <w:tr>
        <w:tc>
          <w:tcPr>
            <w:tcW w:type="dxa" w:w="3024"/>
            <w:shd w:val="clear" w:color="auto" w:fill="FFFFFF"/>
          </w:tcPr>
          <w:p>
            <w:pPr>
              <w:spacing w:before="40" w:after="40"/>
              <w:jc w:val="left"/>
            </w:pPr>
            <w:r>
              <w:rPr>
                <w:sz w:val="20"/>
              </w:rPr>
              <w:t>CHP Dashboard</w:t>
            </w:r>
          </w:p>
        </w:tc>
        <w:tc>
          <w:tcPr>
            <w:tcW w:type="dxa" w:w="3456"/>
            <w:shd w:val="clear" w:color="auto" w:fill="FFFFFF"/>
          </w:tcPr>
          <w:p>
            <w:pPr>
              <w:spacing w:before="40" w:after="40"/>
              <w:jc w:val="left"/>
            </w:pPr>
            <w:r>
              <w:rPr>
                <w:sz w:val="20"/>
              </w:rPr>
              <w:t>Public API, alert thresholds (agreed)</w:t>
            </w:r>
          </w:p>
        </w:tc>
        <w:tc>
          <w:tcPr>
            <w:tcW w:type="dxa" w:w="3600"/>
            <w:shd w:val="clear" w:color="auto" w:fill="FFFFFF"/>
          </w:tcPr>
          <w:p>
            <w:pPr>
              <w:spacing w:before="40" w:after="40"/>
              <w:jc w:val="left"/>
            </w:pPr>
            <w:r>
              <w:rPr>
                <w:sz w:val="20"/>
              </w:rPr>
              <w:t>Operational deployment</w:t>
            </w:r>
          </w:p>
        </w:tc>
      </w:tr>
    </w:tbl>
    <w:p/>
    <w:p>
      <w:pPr>
        <w:pStyle w:val="Heading1"/>
        <w:spacing w:before="360" w:after="120"/>
      </w:pPr>
      <w:r>
        <w:rPr>
          <w:b/>
          <w:color w:val="00467F"/>
          <w:sz w:val="32"/>
        </w:rPr>
        <w:t>4. Implementation Roadmap</w:t>
      </w:r>
    </w:p>
    <w:p>
      <w:pPr>
        <w:spacing w:after="120" w:before="0"/>
      </w:pPr>
      <w:r>
        <w:rPr>
          <w:sz w:val="22"/>
        </w:rPr>
        <w:t>The roadmap is organised into five phases. Each phase has defined deliverables, duration estimates, and entry/exit criteria. Phases 0-2 can be executed by a single researcher; Phase 3 onwards requires institutional partnerships.</w:t>
      </w:r>
    </w:p>
    <w:p>
      <w:pPr>
        <w:pStyle w:val="Heading2"/>
        <w:spacing w:before="240" w:after="80"/>
      </w:pPr>
      <w:r>
        <w:rPr>
          <w:b/>
          <w:color w:val="1F497D"/>
          <w:sz w:val="26"/>
        </w:rPr>
        <w:t>Phase 0: Foundation Reconstruction (Weeks 1-4)</w:t>
      </w:r>
    </w:p>
    <w:tbl>
      <w:tblPr>
        <w:tblW w:type="auto" w:w="0"/>
        <w:jc w:val="left"/>
        <w:tblLook w:firstColumn="1" w:firstRow="1" w:lastColumn="0" w:lastRow="0" w:noHBand="0" w:noVBand="1" w:val="04A0"/>
      </w:tblPr>
      <w:tblGrid>
        <w:gridCol w:w="9360"/>
      </w:tblGrid>
      <w:tr>
        <w:tc>
          <w:tcPr>
            <w:tcW w:type="dxa" w:w="9360"/>
            <w:shd w:val="clear" w:color="auto" w:fill="FDE9D9"/>
          </w:tcPr>
          <w:p>
            <w:pPr>
              <w:spacing w:before="80" w:after="80"/>
            </w:pPr>
            <w:r>
              <w:rPr>
                <w:b/>
                <w:sz w:val="20"/>
              </w:rPr>
              <w:t xml:space="preserve">Phase Goal:  </w:t>
            </w:r>
            <w:r>
              <w:rPr>
                <w:sz w:val="20"/>
              </w:rPr>
              <w:t>Goal: Restore full reproducibility of the existing pipeline. Before any new feature is added, scripts 01-06 must be re-implemented so the pipeline can be re-run on any date with fresh data. This is non-negotiable — the project is currently not reproducible.</w:t>
            </w:r>
          </w:p>
        </w:tc>
      </w:tr>
    </w:tbl>
    <w:p>
      <w:pPr>
        <w:spacing w:after="80"/>
      </w:pPr>
    </w:p>
    <w:tbl>
      <w:tblPr>
        <w:tblStyle w:val="TableGrid"/>
        <w:tblW w:type="auto" w:w="0"/>
        <w:jc w:val="left"/>
        <w:tblLook w:firstColumn="1" w:firstRow="1" w:lastColumn="0" w:lastRow="0" w:noHBand="0" w:noVBand="1" w:val="04A0"/>
      </w:tblPr>
      <w:tblGrid>
        <w:gridCol w:w="3312"/>
        <w:gridCol w:w="1152"/>
        <w:gridCol w:w="2592"/>
        <w:gridCol w:w="3024"/>
      </w:tblGrid>
      <w:tr>
        <w:tc>
          <w:tcPr>
            <w:tcW w:type="dxa" w:w="3312"/>
            <w:shd w:val="clear" w:color="auto" w:fill="2E7D32"/>
          </w:tcPr>
          <w:p>
            <w:pPr>
              <w:spacing w:before="60" w:after="60"/>
              <w:jc w:val="left"/>
            </w:pPr>
            <w:r>
              <w:rPr>
                <w:b/>
                <w:color w:val="FFFFFF"/>
                <w:sz w:val="20"/>
              </w:rPr>
              <w:t>Task</w:t>
            </w:r>
          </w:p>
        </w:tc>
        <w:tc>
          <w:tcPr>
            <w:tcW w:type="dxa" w:w="1152"/>
            <w:shd w:val="clear" w:color="auto" w:fill="2E7D32"/>
          </w:tcPr>
          <w:p>
            <w:pPr>
              <w:spacing w:before="60" w:after="60"/>
              <w:jc w:val="left"/>
            </w:pPr>
            <w:r>
              <w:rPr>
                <w:b/>
                <w:color w:val="FFFFFF"/>
                <w:sz w:val="20"/>
              </w:rPr>
              <w:t>Effort</w:t>
            </w:r>
          </w:p>
        </w:tc>
        <w:tc>
          <w:tcPr>
            <w:tcW w:type="dxa" w:w="2592"/>
            <w:shd w:val="clear" w:color="auto" w:fill="2E7D32"/>
          </w:tcPr>
          <w:p>
            <w:pPr>
              <w:spacing w:before="60" w:after="60"/>
              <w:jc w:val="left"/>
            </w:pPr>
            <w:r>
              <w:rPr>
                <w:b/>
                <w:color w:val="FFFFFF"/>
                <w:sz w:val="20"/>
              </w:rPr>
              <w:t>Output</w:t>
            </w:r>
          </w:p>
        </w:tc>
        <w:tc>
          <w:tcPr>
            <w:tcW w:type="dxa" w:w="3024"/>
            <w:shd w:val="clear" w:color="auto" w:fill="2E7D32"/>
          </w:tcPr>
          <w:p>
            <w:pPr>
              <w:spacing w:before="60" w:after="60"/>
              <w:jc w:val="left"/>
            </w:pPr>
            <w:r>
              <w:rPr>
                <w:b/>
                <w:color w:val="FFFFFF"/>
                <w:sz w:val="20"/>
              </w:rPr>
              <w:t>Notes</w:t>
            </w:r>
          </w:p>
        </w:tc>
      </w:tr>
      <w:tr>
        <w:tc>
          <w:tcPr>
            <w:tcW w:type="dxa" w:w="3312"/>
            <w:shd w:val="clear" w:color="auto" w:fill="FFFFFF"/>
          </w:tcPr>
          <w:p>
            <w:pPr>
              <w:spacing w:before="40" w:after="40"/>
              <w:jc w:val="left"/>
            </w:pPr>
            <w:r>
              <w:rPr>
                <w:sz w:val="20"/>
              </w:rPr>
              <w:t>Reconstruct script 01: data preparation</w:t>
            </w:r>
          </w:p>
        </w:tc>
        <w:tc>
          <w:tcPr>
            <w:tcW w:type="dxa" w:w="1152"/>
            <w:shd w:val="clear" w:color="auto" w:fill="FFFFFF"/>
          </w:tcPr>
          <w:p>
            <w:pPr>
              <w:spacing w:before="40" w:after="40"/>
              <w:jc w:val="left"/>
            </w:pPr>
            <w:r>
              <w:rPr>
                <w:sz w:val="20"/>
              </w:rPr>
              <w:t>3 days</w:t>
            </w:r>
          </w:p>
        </w:tc>
        <w:tc>
          <w:tcPr>
            <w:tcW w:type="dxa" w:w="2592"/>
            <w:shd w:val="clear" w:color="auto" w:fill="FFFFFF"/>
          </w:tcPr>
          <w:p>
            <w:pPr>
              <w:spacing w:before="40" w:after="40"/>
              <w:jc w:val="left"/>
            </w:pPr>
            <w:r>
              <w:rPr>
                <w:sz w:val="20"/>
              </w:rPr>
              <w:t>01_data_preparation.py (full)</w:t>
            </w:r>
          </w:p>
        </w:tc>
        <w:tc>
          <w:tcPr>
            <w:tcW w:type="dxa" w:w="3024"/>
            <w:shd w:val="clear" w:color="auto" w:fill="FFFFFF"/>
          </w:tcPr>
          <w:p>
            <w:pPr>
              <w:spacing w:before="40" w:after="40"/>
              <w:jc w:val="left"/>
            </w:pPr>
            <w:r>
              <w:rPr>
                <w:sz w:val="20"/>
              </w:rPr>
              <w:t>Use existing outputs + README to reverse-engineer. Key: COVID flag logic, ILI+ formula, log-transform</w:t>
            </w:r>
          </w:p>
        </w:tc>
      </w:tr>
      <w:tr>
        <w:tc>
          <w:tcPr>
            <w:tcW w:type="dxa" w:w="3312"/>
            <w:shd w:val="clear" w:color="auto" w:fill="E8F5E9"/>
          </w:tcPr>
          <w:p>
            <w:pPr>
              <w:spacing w:before="40" w:after="40"/>
              <w:jc w:val="left"/>
            </w:pPr>
            <w:r>
              <w:rPr>
                <w:sz w:val="20"/>
              </w:rPr>
              <w:t>Reconstruct script 02: stationarity tests</w:t>
            </w:r>
          </w:p>
        </w:tc>
        <w:tc>
          <w:tcPr>
            <w:tcW w:type="dxa" w:w="1152"/>
            <w:shd w:val="clear" w:color="auto" w:fill="E8F5E9"/>
          </w:tcPr>
          <w:p>
            <w:pPr>
              <w:spacing w:before="40" w:after="40"/>
              <w:jc w:val="left"/>
            </w:pPr>
            <w:r>
              <w:rPr>
                <w:sz w:val="20"/>
              </w:rPr>
              <w:t>1 day</w:t>
            </w:r>
          </w:p>
        </w:tc>
        <w:tc>
          <w:tcPr>
            <w:tcW w:type="dxa" w:w="2592"/>
            <w:shd w:val="clear" w:color="auto" w:fill="E8F5E9"/>
          </w:tcPr>
          <w:p>
            <w:pPr>
              <w:spacing w:before="40" w:after="40"/>
              <w:jc w:val="left"/>
            </w:pPr>
            <w:r>
              <w:rPr>
                <w:sz w:val="20"/>
              </w:rPr>
              <w:t>02_stationarity_acf_pacf.py (full)</w:t>
            </w:r>
          </w:p>
        </w:tc>
        <w:tc>
          <w:tcPr>
            <w:tcW w:type="dxa" w:w="3024"/>
            <w:shd w:val="clear" w:color="auto" w:fill="E8F5E9"/>
          </w:tcPr>
          <w:p>
            <w:pPr>
              <w:spacing w:before="40" w:after="40"/>
              <w:jc w:val="left"/>
            </w:pPr>
            <w:r>
              <w:rPr>
                <w:sz w:val="20"/>
              </w:rPr>
              <w:t>ADF test, ACF/PACF at multiple lags, order selection grid</w:t>
            </w:r>
          </w:p>
        </w:tc>
      </w:tr>
      <w:tr>
        <w:tc>
          <w:tcPr>
            <w:tcW w:type="dxa" w:w="3312"/>
            <w:shd w:val="clear" w:color="auto" w:fill="FFFFFF"/>
          </w:tcPr>
          <w:p>
            <w:pPr>
              <w:spacing w:before="40" w:after="40"/>
              <w:jc w:val="left"/>
            </w:pPr>
            <w:r>
              <w:rPr>
                <w:sz w:val="20"/>
              </w:rPr>
              <w:t>Reconstruct script 03: SARIMA fitting</w:t>
            </w:r>
          </w:p>
        </w:tc>
        <w:tc>
          <w:tcPr>
            <w:tcW w:type="dxa" w:w="1152"/>
            <w:shd w:val="clear" w:color="auto" w:fill="FFFFFF"/>
          </w:tcPr>
          <w:p>
            <w:pPr>
              <w:spacing w:before="40" w:after="40"/>
              <w:jc w:val="left"/>
            </w:pPr>
            <w:r>
              <w:rPr>
                <w:sz w:val="20"/>
              </w:rPr>
              <w:t>3 days</w:t>
            </w:r>
          </w:p>
        </w:tc>
        <w:tc>
          <w:tcPr>
            <w:tcW w:type="dxa" w:w="2592"/>
            <w:shd w:val="clear" w:color="auto" w:fill="FFFFFF"/>
          </w:tcPr>
          <w:p>
            <w:pPr>
              <w:spacing w:before="40" w:after="40"/>
              <w:jc w:val="left"/>
            </w:pPr>
            <w:r>
              <w:rPr>
                <w:sz w:val="20"/>
              </w:rPr>
              <w:t>03_model_fitting.py (full)</w:t>
            </w:r>
          </w:p>
        </w:tc>
        <w:tc>
          <w:tcPr>
            <w:tcW w:type="dxa" w:w="3024"/>
            <w:shd w:val="clear" w:color="auto" w:fill="FFFFFF"/>
          </w:tcPr>
          <w:p>
            <w:pPr>
              <w:spacing w:before="40" w:after="40"/>
              <w:jc w:val="left"/>
            </w:pPr>
            <w:r>
              <w:rPr>
                <w:sz w:val="20"/>
              </w:rPr>
              <w:t>Must reproduce AIC=-1772.62; validate against model_coefficients.json</w:t>
            </w:r>
          </w:p>
        </w:tc>
      </w:tr>
      <w:tr>
        <w:tc>
          <w:tcPr>
            <w:tcW w:type="dxa" w:w="3312"/>
            <w:shd w:val="clear" w:color="auto" w:fill="E8F5E9"/>
          </w:tcPr>
          <w:p>
            <w:pPr>
              <w:spacing w:before="40" w:after="40"/>
              <w:jc w:val="left"/>
            </w:pPr>
            <w:r>
              <w:rPr>
                <w:sz w:val="20"/>
              </w:rPr>
              <w:t>Reconstruct script 04: residual diagnostics</w:t>
            </w:r>
          </w:p>
        </w:tc>
        <w:tc>
          <w:tcPr>
            <w:tcW w:type="dxa" w:w="1152"/>
            <w:shd w:val="clear" w:color="auto" w:fill="E8F5E9"/>
          </w:tcPr>
          <w:p>
            <w:pPr>
              <w:spacing w:before="40" w:after="40"/>
              <w:jc w:val="left"/>
            </w:pPr>
            <w:r>
              <w:rPr>
                <w:sz w:val="20"/>
              </w:rPr>
              <w:t>1 day</w:t>
            </w:r>
          </w:p>
        </w:tc>
        <w:tc>
          <w:tcPr>
            <w:tcW w:type="dxa" w:w="2592"/>
            <w:shd w:val="clear" w:color="auto" w:fill="E8F5E9"/>
          </w:tcPr>
          <w:p>
            <w:pPr>
              <w:spacing w:before="40" w:after="40"/>
              <w:jc w:val="left"/>
            </w:pPr>
            <w:r>
              <w:rPr>
                <w:sz w:val="20"/>
              </w:rPr>
              <w:t>04_residual_diagnostics.py (full)</w:t>
            </w:r>
          </w:p>
        </w:tc>
        <w:tc>
          <w:tcPr>
            <w:tcW w:type="dxa" w:w="3024"/>
            <w:shd w:val="clear" w:color="auto" w:fill="E8F5E9"/>
          </w:tcPr>
          <w:p>
            <w:pPr>
              <w:spacing w:before="40" w:after="40"/>
              <w:jc w:val="left"/>
            </w:pPr>
            <w:r>
              <w:rPr>
                <w:sz w:val="20"/>
              </w:rPr>
              <w:t>Ljung-Box, Shapiro-Wilk, 2x2 panel; match existing figures</w:t>
            </w:r>
          </w:p>
        </w:tc>
      </w:tr>
      <w:tr>
        <w:tc>
          <w:tcPr>
            <w:tcW w:type="dxa" w:w="3312"/>
            <w:shd w:val="clear" w:color="auto" w:fill="FFFFFF"/>
          </w:tcPr>
          <w:p>
            <w:pPr>
              <w:spacing w:before="40" w:after="40"/>
              <w:jc w:val="left"/>
            </w:pPr>
            <w:r>
              <w:rPr>
                <w:sz w:val="20"/>
              </w:rPr>
              <w:t>Reconstruct script 05: forecast generation</w:t>
            </w:r>
          </w:p>
        </w:tc>
        <w:tc>
          <w:tcPr>
            <w:tcW w:type="dxa" w:w="1152"/>
            <w:shd w:val="clear" w:color="auto" w:fill="FFFFFF"/>
          </w:tcPr>
          <w:p>
            <w:pPr>
              <w:spacing w:before="40" w:after="40"/>
              <w:jc w:val="left"/>
            </w:pPr>
            <w:r>
              <w:rPr>
                <w:sz w:val="20"/>
              </w:rPr>
              <w:t>2 days</w:t>
            </w:r>
          </w:p>
        </w:tc>
        <w:tc>
          <w:tcPr>
            <w:tcW w:type="dxa" w:w="2592"/>
            <w:shd w:val="clear" w:color="auto" w:fill="FFFFFF"/>
          </w:tcPr>
          <w:p>
            <w:pPr>
              <w:spacing w:before="40" w:after="40"/>
              <w:jc w:val="left"/>
            </w:pPr>
            <w:r>
              <w:rPr>
                <w:sz w:val="20"/>
              </w:rPr>
              <w:t>05_forecast_generation.py (full)</w:t>
            </w:r>
          </w:p>
        </w:tc>
        <w:tc>
          <w:tcPr>
            <w:tcW w:type="dxa" w:w="3024"/>
            <w:shd w:val="clear" w:color="auto" w:fill="FFFFFF"/>
          </w:tcPr>
          <w:p>
            <w:pPr>
              <w:spacing w:before="40" w:after="40"/>
              <w:jc w:val="left"/>
            </w:pPr>
            <w:r>
              <w:rPr>
                <w:sz w:val="20"/>
              </w:rPr>
              <w:t>Bootstrap n=500 draws; reproduce existing forecast_78wk_2026_27.csv</w:t>
            </w:r>
          </w:p>
        </w:tc>
      </w:tr>
      <w:tr>
        <w:tc>
          <w:tcPr>
            <w:tcW w:type="dxa" w:w="3312"/>
            <w:shd w:val="clear" w:color="auto" w:fill="E8F5E9"/>
          </w:tcPr>
          <w:p>
            <w:pPr>
              <w:spacing w:before="40" w:after="40"/>
              <w:jc w:val="left"/>
            </w:pPr>
            <w:r>
              <w:rPr>
                <w:sz w:val="20"/>
              </w:rPr>
              <w:t>Reconstruct script 06: figures + narrative</w:t>
            </w:r>
          </w:p>
        </w:tc>
        <w:tc>
          <w:tcPr>
            <w:tcW w:type="dxa" w:w="1152"/>
            <w:shd w:val="clear" w:color="auto" w:fill="E8F5E9"/>
          </w:tcPr>
          <w:p>
            <w:pPr>
              <w:spacing w:before="40" w:after="40"/>
              <w:jc w:val="left"/>
            </w:pPr>
            <w:r>
              <w:rPr>
                <w:sz w:val="20"/>
              </w:rPr>
              <w:t>1 day</w:t>
            </w:r>
          </w:p>
        </w:tc>
        <w:tc>
          <w:tcPr>
            <w:tcW w:type="dxa" w:w="2592"/>
            <w:shd w:val="clear" w:color="auto" w:fill="E8F5E9"/>
          </w:tcPr>
          <w:p>
            <w:pPr>
              <w:spacing w:before="40" w:after="40"/>
              <w:jc w:val="left"/>
            </w:pPr>
            <w:r>
              <w:rPr>
                <w:sz w:val="20"/>
              </w:rPr>
              <w:t>06_figures_and_narrative.py (full)</w:t>
            </w:r>
          </w:p>
        </w:tc>
        <w:tc>
          <w:tcPr>
            <w:tcW w:type="dxa" w:w="3024"/>
            <w:shd w:val="clear" w:color="auto" w:fill="E8F5E9"/>
          </w:tcPr>
          <w:p>
            <w:pPr>
              <w:spacing w:before="40" w:after="40"/>
              <w:jc w:val="left"/>
            </w:pPr>
            <w:r>
              <w:rPr>
                <w:sz w:val="20"/>
              </w:rPr>
              <w:t>Publication figures; validate against existing PNGs</w:t>
            </w:r>
          </w:p>
        </w:tc>
      </w:tr>
      <w:tr>
        <w:tc>
          <w:tcPr>
            <w:tcW w:type="dxa" w:w="3312"/>
            <w:shd w:val="clear" w:color="auto" w:fill="FFFFFF"/>
          </w:tcPr>
          <w:p>
            <w:pPr>
              <w:spacing w:before="40" w:after="40"/>
              <w:jc w:val="left"/>
            </w:pPr>
            <w:r>
              <w:rPr>
                <w:sz w:val="20"/>
              </w:rPr>
              <w:t>Add quantile extraction to script 05</w:t>
            </w:r>
          </w:p>
        </w:tc>
        <w:tc>
          <w:tcPr>
            <w:tcW w:type="dxa" w:w="1152"/>
            <w:shd w:val="clear" w:color="auto" w:fill="FFFFFF"/>
          </w:tcPr>
          <w:p>
            <w:pPr>
              <w:spacing w:before="40" w:after="40"/>
              <w:jc w:val="left"/>
            </w:pPr>
            <w:r>
              <w:rPr>
                <w:sz w:val="20"/>
              </w:rPr>
              <w:t>1 day</w:t>
            </w:r>
          </w:p>
        </w:tc>
        <w:tc>
          <w:tcPr>
            <w:tcW w:type="dxa" w:w="2592"/>
            <w:shd w:val="clear" w:color="auto" w:fill="FFFFFF"/>
          </w:tcPr>
          <w:p>
            <w:pPr>
              <w:spacing w:before="40" w:after="40"/>
              <w:jc w:val="left"/>
            </w:pPr>
            <w:r>
              <w:rPr>
                <w:sz w:val="20"/>
              </w:rPr>
              <w:t>23-quantile output per forecast step</w:t>
            </w:r>
          </w:p>
        </w:tc>
        <w:tc>
          <w:tcPr>
            <w:tcW w:type="dxa" w:w="3024"/>
            <w:shd w:val="clear" w:color="auto" w:fill="FFFFFF"/>
          </w:tcPr>
          <w:p>
            <w:pPr>
              <w:spacing w:before="40" w:after="40"/>
              <w:jc w:val="left"/>
            </w:pPr>
            <w:r>
              <w:rPr>
                <w:sz w:val="20"/>
              </w:rPr>
              <w:t>Extract from bootstrap draws; test monotonicity</w:t>
            </w:r>
          </w:p>
        </w:tc>
      </w:tr>
      <w:tr>
        <w:tc>
          <w:tcPr>
            <w:tcW w:type="dxa" w:w="3312"/>
            <w:shd w:val="clear" w:color="auto" w:fill="E8F5E9"/>
          </w:tcPr>
          <w:p>
            <w:pPr>
              <w:spacing w:before="40" w:after="40"/>
              <w:jc w:val="left"/>
            </w:pPr>
            <w:r>
              <w:rPr>
                <w:sz w:val="20"/>
              </w:rPr>
              <w:t>Implement WIS scoring function</w:t>
            </w:r>
          </w:p>
        </w:tc>
        <w:tc>
          <w:tcPr>
            <w:tcW w:type="dxa" w:w="1152"/>
            <w:shd w:val="clear" w:color="auto" w:fill="E8F5E9"/>
          </w:tcPr>
          <w:p>
            <w:pPr>
              <w:spacing w:before="40" w:after="40"/>
              <w:jc w:val="left"/>
            </w:pPr>
            <w:r>
              <w:rPr>
                <w:sz w:val="20"/>
              </w:rPr>
              <w:t>1 day</w:t>
            </w:r>
          </w:p>
        </w:tc>
        <w:tc>
          <w:tcPr>
            <w:tcW w:type="dxa" w:w="2592"/>
            <w:shd w:val="clear" w:color="auto" w:fill="E8F5E9"/>
          </w:tcPr>
          <w:p>
            <w:pPr>
              <w:spacing w:before="40" w:after="40"/>
              <w:jc w:val="left"/>
            </w:pPr>
            <w:r>
              <w:rPr>
                <w:sz w:val="20"/>
              </w:rPr>
              <w:t>wis.py utility module</w:t>
            </w:r>
          </w:p>
        </w:tc>
        <w:tc>
          <w:tcPr>
            <w:tcW w:type="dxa" w:w="3024"/>
            <w:shd w:val="clear" w:color="auto" w:fill="E8F5E9"/>
          </w:tcPr>
          <w:p>
            <w:pPr>
              <w:spacing w:before="40" w:after="40"/>
              <w:jc w:val="left"/>
            </w:pPr>
            <w:r>
              <w:rPr>
                <w:sz w:val="20"/>
              </w:rPr>
              <w:t>WIS = sum over quantile levels of interval scores; validate against FluSight reference</w:t>
            </w:r>
          </w:p>
        </w:tc>
      </w:tr>
      <w:tr>
        <w:tc>
          <w:tcPr>
            <w:tcW w:type="dxa" w:w="3312"/>
            <w:shd w:val="clear" w:color="auto" w:fill="FFFFFF"/>
          </w:tcPr>
          <w:p>
            <w:pPr>
              <w:spacing w:before="40" w:after="40"/>
              <w:jc w:val="left"/>
            </w:pPr>
            <w:r>
              <w:rPr>
                <w:sz w:val="20"/>
              </w:rPr>
              <w:t>End-to-end pipeline test</w:t>
            </w:r>
          </w:p>
        </w:tc>
        <w:tc>
          <w:tcPr>
            <w:tcW w:type="dxa" w:w="1152"/>
            <w:shd w:val="clear" w:color="auto" w:fill="FFFFFF"/>
          </w:tcPr>
          <w:p>
            <w:pPr>
              <w:spacing w:before="40" w:after="40"/>
              <w:jc w:val="left"/>
            </w:pPr>
            <w:r>
              <w:rPr>
                <w:sz w:val="20"/>
              </w:rPr>
              <w:t>1 day</w:t>
            </w:r>
          </w:p>
        </w:tc>
        <w:tc>
          <w:tcPr>
            <w:tcW w:type="dxa" w:w="2592"/>
            <w:shd w:val="clear" w:color="auto" w:fill="FFFFFF"/>
          </w:tcPr>
          <w:p>
            <w:pPr>
              <w:spacing w:before="40" w:after="40"/>
              <w:jc w:val="left"/>
            </w:pPr>
            <w:r>
              <w:rPr>
                <w:sz w:val="20"/>
              </w:rPr>
              <w:t>All outputs match existing CSVs/figures</w:t>
            </w:r>
          </w:p>
        </w:tc>
        <w:tc>
          <w:tcPr>
            <w:tcW w:type="dxa" w:w="3024"/>
            <w:shd w:val="clear" w:color="auto" w:fill="FFFFFF"/>
          </w:tcPr>
          <w:p>
            <w:pPr>
              <w:spacing w:before="40" w:after="40"/>
              <w:jc w:val="left"/>
            </w:pPr>
            <w:r>
              <w:rPr>
                <w:sz w:val="20"/>
              </w:rPr>
              <w:t>Run scripts 01-08 sequentially; compare outputs</w:t>
            </w:r>
          </w:p>
        </w:tc>
      </w:tr>
    </w:tbl>
    <w:p/>
    <w:p>
      <w:pPr>
        <w:spacing w:after="240" w:before="0"/>
      </w:pPr>
      <w:r>
        <w:rPr>
          <w:sz w:val="22"/>
        </w:rPr>
        <w:t>Exit criterion: Running python 01_data_preparation.py ... python 08_ensemble_evaluation.py sequentially produces outputs that match (within floating-point tolerance) the committed CSVs and figures.</w:t>
      </w:r>
    </w:p>
    <w:p>
      <w:pPr>
        <w:pStyle w:val="Heading2"/>
        <w:spacing w:before="240" w:after="80"/>
      </w:pPr>
      <w:r>
        <w:rPr>
          <w:b/>
          <w:color w:val="1F497D"/>
          <w:sz w:val="26"/>
        </w:rPr>
        <w:t>Phase 1: Core Infrastructure (Weeks 5-14)</w:t>
      </w:r>
    </w:p>
    <w:tbl>
      <w:tblPr>
        <w:tblW w:type="auto" w:w="0"/>
        <w:jc w:val="left"/>
        <w:tblLook w:firstColumn="1" w:firstRow="1" w:lastColumn="0" w:lastRow="0" w:noHBand="0" w:noVBand="1" w:val="04A0"/>
      </w:tblPr>
      <w:tblGrid>
        <w:gridCol w:w="9360"/>
      </w:tblGrid>
      <w:tr>
        <w:tc>
          <w:tcPr>
            <w:tcW w:type="dxa" w:w="9360"/>
            <w:shd w:val="clear" w:color="auto" w:fill="E3F2FD"/>
          </w:tcPr>
          <w:p>
            <w:pPr>
              <w:spacing w:before="80" w:after="80"/>
            </w:pPr>
            <w:r>
              <w:rPr>
                <w:b/>
                <w:sz w:val="20"/>
              </w:rPr>
              <w:t xml:space="preserve">Phase Goal:  </w:t>
            </w:r>
            <w:r>
              <w:rPr>
                <w:sz w:val="20"/>
              </w:rPr>
              <w:t>Goal: Build the data infrastructure and hub skeleton that will support all future models. Agree on the formal target variable. Stand up the submission validator.</w:t>
            </w:r>
          </w:p>
        </w:tc>
      </w:tr>
    </w:tbl>
    <w:p>
      <w:pPr>
        <w:spacing w:after="80"/>
      </w:pPr>
    </w:p>
    <w:tbl>
      <w:tblPr>
        <w:tblStyle w:val="TableGrid"/>
        <w:tblW w:type="auto" w:w="0"/>
        <w:jc w:val="left"/>
        <w:tblLook w:firstColumn="1" w:firstRow="1" w:lastColumn="0" w:lastRow="0" w:noHBand="0" w:noVBand="1" w:val="04A0"/>
      </w:tblPr>
      <w:tblGrid>
        <w:gridCol w:w="3312"/>
        <w:gridCol w:w="1296"/>
        <w:gridCol w:w="2736"/>
        <w:gridCol w:w="2736"/>
      </w:tblGrid>
      <w:tr>
        <w:tc>
          <w:tcPr>
            <w:tcW w:type="dxa" w:w="3312"/>
            <w:shd w:val="clear" w:color="auto" w:fill="1565C0"/>
          </w:tcPr>
          <w:p>
            <w:pPr>
              <w:spacing w:before="60" w:after="60"/>
              <w:jc w:val="left"/>
            </w:pPr>
            <w:r>
              <w:rPr>
                <w:b/>
                <w:color w:val="FFFFFF"/>
                <w:sz w:val="20"/>
              </w:rPr>
              <w:t>Task</w:t>
            </w:r>
          </w:p>
        </w:tc>
        <w:tc>
          <w:tcPr>
            <w:tcW w:type="dxa" w:w="1296"/>
            <w:shd w:val="clear" w:color="auto" w:fill="1565C0"/>
          </w:tcPr>
          <w:p>
            <w:pPr>
              <w:spacing w:before="60" w:after="60"/>
              <w:jc w:val="left"/>
            </w:pPr>
            <w:r>
              <w:rPr>
                <w:b/>
                <w:color w:val="FFFFFF"/>
                <w:sz w:val="20"/>
              </w:rPr>
              <w:t>Effort</w:t>
            </w:r>
          </w:p>
        </w:tc>
        <w:tc>
          <w:tcPr>
            <w:tcW w:type="dxa" w:w="2736"/>
            <w:shd w:val="clear" w:color="auto" w:fill="1565C0"/>
          </w:tcPr>
          <w:p>
            <w:pPr>
              <w:spacing w:before="60" w:after="60"/>
              <w:jc w:val="left"/>
            </w:pPr>
            <w:r>
              <w:rPr>
                <w:b/>
                <w:color w:val="FFFFFF"/>
                <w:sz w:val="20"/>
              </w:rPr>
              <w:t>Output</w:t>
            </w:r>
          </w:p>
        </w:tc>
        <w:tc>
          <w:tcPr>
            <w:tcW w:type="dxa" w:w="2736"/>
            <w:shd w:val="clear" w:color="auto" w:fill="1565C0"/>
          </w:tcPr>
          <w:p>
            <w:pPr>
              <w:spacing w:before="60" w:after="60"/>
              <w:jc w:val="left"/>
            </w:pPr>
            <w:r>
              <w:rPr>
                <w:b/>
                <w:color w:val="FFFFFF"/>
                <w:sz w:val="20"/>
              </w:rPr>
              <w:t>Dependencies</w:t>
            </w:r>
          </w:p>
        </w:tc>
      </w:tr>
      <w:tr>
        <w:tc>
          <w:tcPr>
            <w:tcW w:type="dxa" w:w="3312"/>
            <w:shd w:val="clear" w:color="auto" w:fill="FFFFFF"/>
          </w:tcPr>
          <w:p>
            <w:pPr>
              <w:spacing w:before="40" w:after="40"/>
              <w:jc w:val="left"/>
            </w:pPr>
            <w:r>
              <w:rPr>
                <w:sz w:val="20"/>
              </w:rPr>
              <w:t>Formal target variable definition</w:t>
            </w:r>
          </w:p>
        </w:tc>
        <w:tc>
          <w:tcPr>
            <w:tcW w:type="dxa" w:w="1296"/>
            <w:shd w:val="clear" w:color="auto" w:fill="FFFFFF"/>
          </w:tcPr>
          <w:p>
            <w:pPr>
              <w:spacing w:before="40" w:after="40"/>
              <w:jc w:val="left"/>
            </w:pPr>
            <w:r>
              <w:rPr>
                <w:sz w:val="20"/>
              </w:rPr>
              <w:t>1 week (workshop)</w:t>
            </w:r>
          </w:p>
        </w:tc>
        <w:tc>
          <w:tcPr>
            <w:tcW w:type="dxa" w:w="2736"/>
            <w:shd w:val="clear" w:color="auto" w:fill="FFFFFF"/>
          </w:tcPr>
          <w:p>
            <w:pPr>
              <w:spacing w:before="40" w:after="40"/>
              <w:jc w:val="left"/>
            </w:pPr>
            <w:r>
              <w:rPr>
                <w:sz w:val="20"/>
              </w:rPr>
              <w:t>Signed-off target spec document</w:t>
            </w:r>
          </w:p>
        </w:tc>
        <w:tc>
          <w:tcPr>
            <w:tcW w:type="dxa" w:w="2736"/>
            <w:shd w:val="clear" w:color="auto" w:fill="FFFFFF"/>
          </w:tcPr>
          <w:p>
            <w:pPr>
              <w:spacing w:before="40" w:after="40"/>
              <w:jc w:val="left"/>
            </w:pPr>
            <w:r>
              <w:rPr>
                <w:sz w:val="20"/>
              </w:rPr>
              <w:t>CHP stakeholder meeting; epidemiologist input</w:t>
            </w:r>
          </w:p>
        </w:tc>
      </w:tr>
      <w:tr>
        <w:tc>
          <w:tcPr>
            <w:tcW w:type="dxa" w:w="3312"/>
            <w:shd w:val="clear" w:color="auto" w:fill="E3F2FD"/>
          </w:tcPr>
          <w:p>
            <w:pPr>
              <w:spacing w:before="40" w:after="40"/>
              <w:jc w:val="left"/>
            </w:pPr>
            <w:r>
              <w:rPr>
                <w:sz w:val="20"/>
              </w:rPr>
              <w:t>Automated CHP data ingestion (ETL)</w:t>
            </w:r>
          </w:p>
        </w:tc>
        <w:tc>
          <w:tcPr>
            <w:tcW w:type="dxa" w:w="1296"/>
            <w:shd w:val="clear" w:color="auto" w:fill="E3F2FD"/>
          </w:tcPr>
          <w:p>
            <w:pPr>
              <w:spacing w:before="40" w:after="40"/>
              <w:jc w:val="left"/>
            </w:pPr>
            <w:r>
              <w:rPr>
                <w:sz w:val="20"/>
              </w:rPr>
              <w:t>2 weeks</w:t>
            </w:r>
          </w:p>
        </w:tc>
        <w:tc>
          <w:tcPr>
            <w:tcW w:type="dxa" w:w="2736"/>
            <w:shd w:val="clear" w:color="auto" w:fill="E3F2FD"/>
          </w:tcPr>
          <w:p>
            <w:pPr>
              <w:spacing w:before="40" w:after="40"/>
              <w:jc w:val="left"/>
            </w:pPr>
            <w:r>
              <w:rPr>
                <w:sz w:val="20"/>
              </w:rPr>
              <w:t>chp_etl.py: weekly scrape → master dataset</w:t>
            </w:r>
          </w:p>
        </w:tc>
        <w:tc>
          <w:tcPr>
            <w:tcW w:type="dxa" w:w="2736"/>
            <w:shd w:val="clear" w:color="auto" w:fill="E3F2FD"/>
          </w:tcPr>
          <w:p>
            <w:pPr>
              <w:spacing w:before="40" w:after="40"/>
              <w:jc w:val="left"/>
            </w:pPr>
            <w:r>
              <w:rPr>
                <w:sz w:val="20"/>
              </w:rPr>
              <w:t>CHP website structure; PDF parser (pdfplumber or tabula)</w:t>
            </w:r>
          </w:p>
        </w:tc>
      </w:tr>
      <w:tr>
        <w:tc>
          <w:tcPr>
            <w:tcW w:type="dxa" w:w="3312"/>
            <w:shd w:val="clear" w:color="auto" w:fill="FFFFFF"/>
          </w:tcPr>
          <w:p>
            <w:pPr>
              <w:spacing w:before="40" w:after="40"/>
              <w:jc w:val="left"/>
            </w:pPr>
            <w:r>
              <w:rPr>
                <w:sz w:val="20"/>
              </w:rPr>
              <w:t>FluNet API weekly pull</w:t>
            </w:r>
          </w:p>
        </w:tc>
        <w:tc>
          <w:tcPr>
            <w:tcW w:type="dxa" w:w="1296"/>
            <w:shd w:val="clear" w:color="auto" w:fill="FFFFFF"/>
          </w:tcPr>
          <w:p>
            <w:pPr>
              <w:spacing w:before="40" w:after="40"/>
              <w:jc w:val="left"/>
            </w:pPr>
            <w:r>
              <w:rPr>
                <w:sz w:val="20"/>
              </w:rPr>
              <w:t>3 days</w:t>
            </w:r>
          </w:p>
        </w:tc>
        <w:tc>
          <w:tcPr>
            <w:tcW w:type="dxa" w:w="2736"/>
            <w:shd w:val="clear" w:color="auto" w:fill="FFFFFF"/>
          </w:tcPr>
          <w:p>
            <w:pPr>
              <w:spacing w:before="40" w:after="40"/>
              <w:jc w:val="left"/>
            </w:pPr>
            <w:r>
              <w:rPr>
                <w:sz w:val="20"/>
              </w:rPr>
              <w:t>flunet_pull.py: REST → appended to master</w:t>
            </w:r>
          </w:p>
        </w:tc>
        <w:tc>
          <w:tcPr>
            <w:tcW w:type="dxa" w:w="2736"/>
            <w:shd w:val="clear" w:color="auto" w:fill="FFFFFF"/>
          </w:tcPr>
          <w:p>
            <w:pPr>
              <w:spacing w:before="40" w:after="40"/>
              <w:jc w:val="left"/>
            </w:pPr>
            <w:r>
              <w:rPr>
                <w:sz w:val="20"/>
              </w:rPr>
              <w:t>WHO FluNet public API</w:t>
            </w:r>
          </w:p>
        </w:tc>
      </w:tr>
      <w:tr>
        <w:tc>
          <w:tcPr>
            <w:tcW w:type="dxa" w:w="3312"/>
            <w:shd w:val="clear" w:color="auto" w:fill="E3F2FD"/>
          </w:tcPr>
          <w:p>
            <w:pPr>
              <w:spacing w:before="40" w:after="40"/>
              <w:jc w:val="left"/>
            </w:pPr>
            <w:r>
              <w:rPr>
                <w:sz w:val="20"/>
              </w:rPr>
              <w:t>HKO actual weather feed</w:t>
            </w:r>
          </w:p>
        </w:tc>
        <w:tc>
          <w:tcPr>
            <w:tcW w:type="dxa" w:w="1296"/>
            <w:shd w:val="clear" w:color="auto" w:fill="E3F2FD"/>
          </w:tcPr>
          <w:p>
            <w:pPr>
              <w:spacing w:before="40" w:after="40"/>
              <w:jc w:val="left"/>
            </w:pPr>
            <w:r>
              <w:rPr>
                <w:sz w:val="20"/>
              </w:rPr>
              <w:t>3 days</w:t>
            </w:r>
          </w:p>
        </w:tc>
        <w:tc>
          <w:tcPr>
            <w:tcW w:type="dxa" w:w="2736"/>
            <w:shd w:val="clear" w:color="auto" w:fill="E3F2FD"/>
          </w:tcPr>
          <w:p>
            <w:pPr>
              <w:spacing w:before="40" w:after="40"/>
              <w:jc w:val="left"/>
            </w:pPr>
            <w:r>
              <w:rPr>
                <w:sz w:val="20"/>
              </w:rPr>
              <w:t>hko_pull.py: observed AH/temp/RH → master</w:t>
            </w:r>
          </w:p>
        </w:tc>
        <w:tc>
          <w:tcPr>
            <w:tcW w:type="dxa" w:w="2736"/>
            <w:shd w:val="clear" w:color="auto" w:fill="E3F2FD"/>
          </w:tcPr>
          <w:p>
            <w:pPr>
              <w:spacing w:before="40" w:after="40"/>
              <w:jc w:val="left"/>
            </w:pPr>
            <w:r>
              <w:rPr>
                <w:sz w:val="20"/>
              </w:rPr>
              <w:t>HKO open data API or FTP</w:t>
            </w:r>
          </w:p>
        </w:tc>
      </w:tr>
      <w:tr>
        <w:tc>
          <w:tcPr>
            <w:tcW w:type="dxa" w:w="3312"/>
            <w:shd w:val="clear" w:color="auto" w:fill="FFFFFF"/>
          </w:tcPr>
          <w:p>
            <w:pPr>
              <w:spacing w:before="40" w:after="40"/>
              <w:jc w:val="left"/>
            </w:pPr>
            <w:r>
              <w:rPr>
                <w:sz w:val="20"/>
              </w:rPr>
              <w:t>Master Dataset schema v2</w:t>
            </w:r>
          </w:p>
        </w:tc>
        <w:tc>
          <w:tcPr>
            <w:tcW w:type="dxa" w:w="1296"/>
            <w:shd w:val="clear" w:color="auto" w:fill="FFFFFF"/>
          </w:tcPr>
          <w:p>
            <w:pPr>
              <w:spacing w:before="40" w:after="40"/>
              <w:jc w:val="left"/>
            </w:pPr>
            <w:r>
              <w:rPr>
                <w:sz w:val="20"/>
              </w:rPr>
              <w:t>1 week</w:t>
            </w:r>
          </w:p>
        </w:tc>
        <w:tc>
          <w:tcPr>
            <w:tcW w:type="dxa" w:w="2736"/>
            <w:shd w:val="clear" w:color="auto" w:fill="FFFFFF"/>
          </w:tcPr>
          <w:p>
            <w:pPr>
              <w:spacing w:before="40" w:after="40"/>
              <w:jc w:val="left"/>
            </w:pPr>
            <w:r>
              <w:rPr>
                <w:sz w:val="20"/>
              </w:rPr>
              <w:t>updated master_dataset_v2.csv + schema doc</w:t>
            </w:r>
          </w:p>
        </w:tc>
        <w:tc>
          <w:tcPr>
            <w:tcW w:type="dxa" w:w="2736"/>
            <w:shd w:val="clear" w:color="auto" w:fill="FFFFFF"/>
          </w:tcPr>
          <w:p>
            <w:pPr>
              <w:spacing w:before="40" w:after="40"/>
              <w:jc w:val="left"/>
            </w:pPr>
            <w:r>
              <w:rPr>
                <w:sz w:val="20"/>
              </w:rPr>
              <w:t>All ETL scripts above</w:t>
            </w:r>
          </w:p>
        </w:tc>
      </w:tr>
      <w:tr>
        <w:tc>
          <w:tcPr>
            <w:tcW w:type="dxa" w:w="3312"/>
            <w:shd w:val="clear" w:color="auto" w:fill="E3F2FD"/>
          </w:tcPr>
          <w:p>
            <w:pPr>
              <w:spacing w:before="40" w:after="40"/>
              <w:jc w:val="left"/>
            </w:pPr>
            <w:r>
              <w:rPr>
                <w:sz w:val="20"/>
              </w:rPr>
              <w:t>Hub submission validator</w:t>
            </w:r>
          </w:p>
        </w:tc>
        <w:tc>
          <w:tcPr>
            <w:tcW w:type="dxa" w:w="1296"/>
            <w:shd w:val="clear" w:color="auto" w:fill="E3F2FD"/>
          </w:tcPr>
          <w:p>
            <w:pPr>
              <w:spacing w:before="40" w:after="40"/>
              <w:jc w:val="left"/>
            </w:pPr>
            <w:r>
              <w:rPr>
                <w:sz w:val="20"/>
              </w:rPr>
              <w:t>1 week</w:t>
            </w:r>
          </w:p>
        </w:tc>
        <w:tc>
          <w:tcPr>
            <w:tcW w:type="dxa" w:w="2736"/>
            <w:shd w:val="clear" w:color="auto" w:fill="E3F2FD"/>
          </w:tcPr>
          <w:p>
            <w:pPr>
              <w:spacing w:before="40" w:after="40"/>
              <w:jc w:val="left"/>
            </w:pPr>
            <w:r>
              <w:rPr>
                <w:sz w:val="20"/>
              </w:rPr>
              <w:t>validator.py: schema check, monotonicity, range</w:t>
            </w:r>
          </w:p>
        </w:tc>
        <w:tc>
          <w:tcPr>
            <w:tcW w:type="dxa" w:w="2736"/>
            <w:shd w:val="clear" w:color="auto" w:fill="E3F2FD"/>
          </w:tcPr>
          <w:p>
            <w:pPr>
              <w:spacing w:before="40" w:after="40"/>
              <w:jc w:val="left"/>
            </w:pPr>
            <w:r>
              <w:rPr>
                <w:sz w:val="20"/>
              </w:rPr>
              <w:t>Target spec, quantile spec (FluSight)</w:t>
            </w:r>
          </w:p>
        </w:tc>
      </w:tr>
      <w:tr>
        <w:tc>
          <w:tcPr>
            <w:tcW w:type="dxa" w:w="3312"/>
            <w:shd w:val="clear" w:color="auto" w:fill="FFFFFF"/>
          </w:tcPr>
          <w:p>
            <w:pPr>
              <w:spacing w:before="40" w:after="40"/>
              <w:jc w:val="left"/>
            </w:pPr>
            <w:r>
              <w:rPr>
                <w:sz w:val="20"/>
              </w:rPr>
              <w:t>FluSight-format submission wrapper</w:t>
            </w:r>
          </w:p>
        </w:tc>
        <w:tc>
          <w:tcPr>
            <w:tcW w:type="dxa" w:w="1296"/>
            <w:shd w:val="clear" w:color="auto" w:fill="FFFFFF"/>
          </w:tcPr>
          <w:p>
            <w:pPr>
              <w:spacing w:before="40" w:after="40"/>
              <w:jc w:val="left"/>
            </w:pPr>
            <w:r>
              <w:rPr>
                <w:sz w:val="20"/>
              </w:rPr>
              <w:t>3 days</w:t>
            </w:r>
          </w:p>
        </w:tc>
        <w:tc>
          <w:tcPr>
            <w:tcW w:type="dxa" w:w="2736"/>
            <w:shd w:val="clear" w:color="auto" w:fill="FFFFFF"/>
          </w:tcPr>
          <w:p>
            <w:pPr>
              <w:spacing w:before="40" w:after="40"/>
              <w:jc w:val="left"/>
            </w:pPr>
            <w:r>
              <w:rPr>
                <w:sz w:val="20"/>
              </w:rPr>
              <w:t>submission_formatter.py for each model</w:t>
            </w:r>
          </w:p>
        </w:tc>
        <w:tc>
          <w:tcPr>
            <w:tcW w:type="dxa" w:w="2736"/>
            <w:shd w:val="clear" w:color="auto" w:fill="FFFFFF"/>
          </w:tcPr>
          <w:p>
            <w:pPr>
              <w:spacing w:before="40" w:after="40"/>
              <w:jc w:val="left"/>
            </w:pPr>
            <w:r>
              <w:rPr>
                <w:sz w:val="20"/>
              </w:rPr>
              <w:t>Bootstrap quantile extractor (Phase 0)</w:t>
            </w:r>
          </w:p>
        </w:tc>
      </w:tr>
      <w:tr>
        <w:tc>
          <w:tcPr>
            <w:tcW w:type="dxa" w:w="3312"/>
            <w:shd w:val="clear" w:color="auto" w:fill="E3F2FD"/>
          </w:tcPr>
          <w:p>
            <w:pPr>
              <w:spacing w:before="40" w:after="40"/>
              <w:jc w:val="left"/>
            </w:pPr>
            <w:r>
              <w:rPr>
                <w:sz w:val="20"/>
              </w:rPr>
              <w:t>School term calendar integration</w:t>
            </w:r>
          </w:p>
        </w:tc>
        <w:tc>
          <w:tcPr>
            <w:tcW w:type="dxa" w:w="1296"/>
            <w:shd w:val="clear" w:color="auto" w:fill="E3F2FD"/>
          </w:tcPr>
          <w:p>
            <w:pPr>
              <w:spacing w:before="40" w:after="40"/>
              <w:jc w:val="left"/>
            </w:pPr>
            <w:r>
              <w:rPr>
                <w:sz w:val="20"/>
              </w:rPr>
              <w:t>2 days</w:t>
            </w:r>
          </w:p>
        </w:tc>
        <w:tc>
          <w:tcPr>
            <w:tcW w:type="dxa" w:w="2736"/>
            <w:shd w:val="clear" w:color="auto" w:fill="E3F2FD"/>
          </w:tcPr>
          <w:p>
            <w:pPr>
              <w:spacing w:before="40" w:after="40"/>
              <w:jc w:val="left"/>
            </w:pPr>
            <w:r>
              <w:rPr>
                <w:sz w:val="20"/>
              </w:rPr>
              <w:t>school_term_binary.py → feature in master</w:t>
            </w:r>
          </w:p>
        </w:tc>
        <w:tc>
          <w:tcPr>
            <w:tcW w:type="dxa" w:w="2736"/>
            <w:shd w:val="clear" w:color="auto" w:fill="E3F2FD"/>
          </w:tcPr>
          <w:p>
            <w:pPr>
              <w:spacing w:before="40" w:after="40"/>
              <w:jc w:val="left"/>
            </w:pPr>
            <w:r>
              <w:rPr>
                <w:sz w:val="20"/>
              </w:rPr>
              <w:t>HK Education Bureau calendar (public)</w:t>
            </w:r>
          </w:p>
        </w:tc>
      </w:tr>
      <w:tr>
        <w:tc>
          <w:tcPr>
            <w:tcW w:type="dxa" w:w="3312"/>
            <w:shd w:val="clear" w:color="auto" w:fill="FFFFFF"/>
          </w:tcPr>
          <w:p>
            <w:pPr>
              <w:spacing w:before="40" w:after="40"/>
              <w:jc w:val="left"/>
            </w:pPr>
            <w:r>
              <w:rPr>
                <w:sz w:val="20"/>
              </w:rPr>
              <w:t>Year-round forecasting window logic</w:t>
            </w:r>
          </w:p>
        </w:tc>
        <w:tc>
          <w:tcPr>
            <w:tcW w:type="dxa" w:w="1296"/>
            <w:shd w:val="clear" w:color="auto" w:fill="FFFFFF"/>
          </w:tcPr>
          <w:p>
            <w:pPr>
              <w:spacing w:before="40" w:after="40"/>
              <w:jc w:val="left"/>
            </w:pPr>
            <w:r>
              <w:rPr>
                <w:sz w:val="20"/>
              </w:rPr>
              <w:t>3 days</w:t>
            </w:r>
          </w:p>
        </w:tc>
        <w:tc>
          <w:tcPr>
            <w:tcW w:type="dxa" w:w="2736"/>
            <w:shd w:val="clear" w:color="auto" w:fill="FFFFFF"/>
          </w:tcPr>
          <w:p>
            <w:pPr>
              <w:spacing w:before="40" w:after="40"/>
              <w:jc w:val="left"/>
            </w:pPr>
            <w:r>
              <w:rPr>
                <w:sz w:val="20"/>
              </w:rPr>
              <w:t>forecast_scheduler.py: weekly update, no season cutoff</w:t>
            </w:r>
          </w:p>
        </w:tc>
        <w:tc>
          <w:tcPr>
            <w:tcW w:type="dxa" w:w="2736"/>
            <w:shd w:val="clear" w:color="auto" w:fill="FFFFFF"/>
          </w:tcPr>
          <w:p>
            <w:pPr>
              <w:spacing w:before="40" w:after="40"/>
              <w:jc w:val="left"/>
            </w:pPr>
            <w:r>
              <w:rPr>
                <w:sz w:val="20"/>
              </w:rPr>
              <w:t>Master dataset v2</w:t>
            </w:r>
          </w:p>
        </w:tc>
      </w:tr>
      <w:tr>
        <w:tc>
          <w:tcPr>
            <w:tcW w:type="dxa" w:w="3312"/>
            <w:shd w:val="clear" w:color="auto" w:fill="E3F2FD"/>
          </w:tcPr>
          <w:p>
            <w:pPr>
              <w:spacing w:before="40" w:after="40"/>
              <w:jc w:val="left"/>
            </w:pPr>
            <w:r>
              <w:rPr>
                <w:sz w:val="20"/>
              </w:rPr>
              <w:t>Git repository structure for hub</w:t>
            </w:r>
          </w:p>
        </w:tc>
        <w:tc>
          <w:tcPr>
            <w:tcW w:type="dxa" w:w="1296"/>
            <w:shd w:val="clear" w:color="auto" w:fill="E3F2FD"/>
          </w:tcPr>
          <w:p>
            <w:pPr>
              <w:spacing w:before="40" w:after="40"/>
              <w:jc w:val="left"/>
            </w:pPr>
            <w:r>
              <w:rPr>
                <w:sz w:val="20"/>
              </w:rPr>
              <w:t>2 days</w:t>
            </w:r>
          </w:p>
        </w:tc>
        <w:tc>
          <w:tcPr>
            <w:tcW w:type="dxa" w:w="2736"/>
            <w:shd w:val="clear" w:color="auto" w:fill="E3F2FD"/>
          </w:tcPr>
          <w:p>
            <w:pPr>
              <w:spacing w:before="40" w:after="40"/>
              <w:jc w:val="left"/>
            </w:pPr>
            <w:r>
              <w:rPr>
                <w:sz w:val="20"/>
              </w:rPr>
              <w:t>hub/ directory with model-submissions/, ensemble/, api/</w:t>
            </w:r>
          </w:p>
        </w:tc>
        <w:tc>
          <w:tcPr>
            <w:tcW w:type="dxa" w:w="2736"/>
            <w:shd w:val="clear" w:color="auto" w:fill="E3F2FD"/>
          </w:tcPr>
          <w:p>
            <w:pPr>
              <w:spacing w:before="40" w:after="40"/>
              <w:jc w:val="left"/>
            </w:pPr>
            <w:r>
              <w:rPr>
                <w:sz w:val="20"/>
              </w:rPr>
              <w:t>Architecture design</w:t>
            </w:r>
          </w:p>
        </w:tc>
      </w:tr>
    </w:tbl>
    <w:p/>
    <w:p>
      <w:pPr>
        <w:spacing w:after="240" w:before="0"/>
      </w:pPr>
      <w:r>
        <w:rPr>
          <w:sz w:val="22"/>
        </w:rPr>
        <w:t>Exit criterion: Automated pipeline can ingest a new week of CHP + FluNet + HKO data, append to master dataset, and produce a valid FluSight-format submission from the existing SARIMA model, scored by WIS.</w:t>
      </w:r>
    </w:p>
    <w:p>
      <w:pPr>
        <w:pStyle w:val="Heading2"/>
        <w:spacing w:before="240" w:after="80"/>
      </w:pPr>
      <w:r>
        <w:rPr>
          <w:b/>
          <w:color w:val="1F497D"/>
          <w:sz w:val="26"/>
        </w:rPr>
        <w:t>Phase 2: Model Enhancement (Weeks 15-28)</w:t>
      </w:r>
    </w:p>
    <w:tbl>
      <w:tblPr>
        <w:tblW w:type="auto" w:w="0"/>
        <w:jc w:val="left"/>
        <w:tblLook w:firstColumn="1" w:firstRow="1" w:lastColumn="0" w:lastRow="0" w:noHBand="0" w:noVBand="1" w:val="04A0"/>
      </w:tblPr>
      <w:tblGrid>
        <w:gridCol w:w="9360"/>
      </w:tblGrid>
      <w:tr>
        <w:tc>
          <w:tcPr>
            <w:tcW w:type="dxa" w:w="9360"/>
            <w:shd w:val="clear" w:color="auto" w:fill="F3E5F5"/>
          </w:tcPr>
          <w:p>
            <w:pPr>
              <w:spacing w:before="80" w:after="80"/>
            </w:pPr>
            <w:r>
              <w:rPr>
                <w:b/>
                <w:sz w:val="20"/>
              </w:rPr>
              <w:t xml:space="preserve">Phase Goal:  </w:t>
            </w:r>
            <w:r>
              <w:rPr>
                <w:sz w:val="20"/>
              </w:rPr>
              <w:t>Goal: Expand the model ensemble from 3 homogeneous components to 3 intentionally diverse models. Integrate novel data streams. Implement AWBE. Conduct leave-one-season-out validation.</w:t>
            </w:r>
          </w:p>
        </w:tc>
      </w:tr>
    </w:tbl>
    <w:p>
      <w:pPr>
        <w:spacing w:after="80"/>
      </w:pPr>
    </w:p>
    <w:tbl>
      <w:tblPr>
        <w:tblStyle w:val="TableGrid"/>
        <w:tblW w:type="auto" w:w="0"/>
        <w:jc w:val="left"/>
        <w:tblLook w:firstColumn="1" w:firstRow="1" w:lastColumn="0" w:lastRow="0" w:noHBand="0" w:noVBand="1" w:val="04A0"/>
      </w:tblPr>
      <w:tblGrid>
        <w:gridCol w:w="2880"/>
        <w:gridCol w:w="1296"/>
        <w:gridCol w:w="3168"/>
        <w:gridCol w:w="2736"/>
      </w:tblGrid>
      <w:tr>
        <w:tc>
          <w:tcPr>
            <w:tcW w:type="dxa" w:w="2880"/>
            <w:shd w:val="clear" w:color="auto" w:fill="6A1B9A"/>
          </w:tcPr>
          <w:p>
            <w:pPr>
              <w:spacing w:before="60" w:after="60"/>
              <w:jc w:val="left"/>
            </w:pPr>
            <w:r>
              <w:rPr>
                <w:b/>
                <w:color w:val="FFFFFF"/>
                <w:sz w:val="20"/>
              </w:rPr>
              <w:t>Task</w:t>
            </w:r>
          </w:p>
        </w:tc>
        <w:tc>
          <w:tcPr>
            <w:tcW w:type="dxa" w:w="1296"/>
            <w:shd w:val="clear" w:color="auto" w:fill="6A1B9A"/>
          </w:tcPr>
          <w:p>
            <w:pPr>
              <w:spacing w:before="60" w:after="60"/>
              <w:jc w:val="left"/>
            </w:pPr>
            <w:r>
              <w:rPr>
                <w:b/>
                <w:color w:val="FFFFFF"/>
                <w:sz w:val="20"/>
              </w:rPr>
              <w:t>Effort</w:t>
            </w:r>
          </w:p>
        </w:tc>
        <w:tc>
          <w:tcPr>
            <w:tcW w:type="dxa" w:w="3168"/>
            <w:shd w:val="clear" w:color="auto" w:fill="6A1B9A"/>
          </w:tcPr>
          <w:p>
            <w:pPr>
              <w:spacing w:before="60" w:after="60"/>
              <w:jc w:val="left"/>
            </w:pPr>
            <w:r>
              <w:rPr>
                <w:b/>
                <w:color w:val="FFFFFF"/>
                <w:sz w:val="20"/>
              </w:rPr>
              <w:t>Output</w:t>
            </w:r>
          </w:p>
        </w:tc>
        <w:tc>
          <w:tcPr>
            <w:tcW w:type="dxa" w:w="2736"/>
            <w:shd w:val="clear" w:color="auto" w:fill="6A1B9A"/>
          </w:tcPr>
          <w:p>
            <w:pPr>
              <w:spacing w:before="60" w:after="60"/>
              <w:jc w:val="left"/>
            </w:pPr>
            <w:r>
              <w:rPr>
                <w:b/>
                <w:color w:val="FFFFFF"/>
                <w:sz w:val="20"/>
              </w:rPr>
              <w:t>Key Decisions</w:t>
            </w:r>
          </w:p>
        </w:tc>
      </w:tr>
      <w:tr>
        <w:tc>
          <w:tcPr>
            <w:tcW w:type="dxa" w:w="2880"/>
            <w:shd w:val="clear" w:color="auto" w:fill="FFFFFF"/>
          </w:tcPr>
          <w:p>
            <w:pPr>
              <w:spacing w:before="40" w:after="40"/>
              <w:jc w:val="left"/>
            </w:pPr>
            <w:r>
              <w:rPr>
                <w:sz w:val="20"/>
              </w:rPr>
              <w:t>Bimodal seasonal SARIMA redesign</w:t>
            </w:r>
          </w:p>
        </w:tc>
        <w:tc>
          <w:tcPr>
            <w:tcW w:type="dxa" w:w="1296"/>
            <w:shd w:val="clear" w:color="auto" w:fill="FFFFFF"/>
          </w:tcPr>
          <w:p>
            <w:pPr>
              <w:spacing w:before="40" w:after="40"/>
              <w:jc w:val="left"/>
            </w:pPr>
            <w:r>
              <w:rPr>
                <w:sz w:val="20"/>
              </w:rPr>
              <w:t>2 weeks</w:t>
            </w:r>
          </w:p>
        </w:tc>
        <w:tc>
          <w:tcPr>
            <w:tcW w:type="dxa" w:w="3168"/>
            <w:shd w:val="clear" w:color="auto" w:fill="FFFFFF"/>
          </w:tcPr>
          <w:p>
            <w:pPr>
              <w:spacing w:before="40" w:after="40"/>
              <w:jc w:val="left"/>
            </w:pPr>
            <w:r>
              <w:rPr>
                <w:sz w:val="20"/>
              </w:rPr>
              <w:t>SARIMA with two-regime seasonal structure or SARIMA(p,d,q)(P,D,Q)[26] for semi-annual cycle</w:t>
            </w:r>
          </w:p>
        </w:tc>
        <w:tc>
          <w:tcPr>
            <w:tcW w:type="dxa" w:w="2736"/>
            <w:shd w:val="clear" w:color="auto" w:fill="FFFFFF"/>
          </w:tcPr>
          <w:p>
            <w:pPr>
              <w:spacing w:before="40" w:after="40"/>
              <w:jc w:val="left"/>
            </w:pPr>
            <w:r>
              <w:rPr>
                <w:sz w:val="20"/>
              </w:rPr>
              <w:t>Test S=26 vs S=52; compare bimodal AIC</w:t>
            </w:r>
          </w:p>
        </w:tc>
      </w:tr>
      <w:tr>
        <w:tc>
          <w:tcPr>
            <w:tcW w:type="dxa" w:w="2880"/>
            <w:shd w:val="clear" w:color="auto" w:fill="F3E5F5"/>
          </w:tcPr>
          <w:p>
            <w:pPr>
              <w:spacing w:before="40" w:after="40"/>
              <w:jc w:val="left"/>
            </w:pPr>
            <w:r>
              <w:rPr>
                <w:sz w:val="20"/>
              </w:rPr>
              <w:t>Absolute humidity actual-data regressors</w:t>
            </w:r>
          </w:p>
        </w:tc>
        <w:tc>
          <w:tcPr>
            <w:tcW w:type="dxa" w:w="1296"/>
            <w:shd w:val="clear" w:color="auto" w:fill="F3E5F5"/>
          </w:tcPr>
          <w:p>
            <w:pPr>
              <w:spacing w:before="40" w:after="40"/>
              <w:jc w:val="left"/>
            </w:pPr>
            <w:r>
              <w:rPr>
                <w:sz w:val="20"/>
              </w:rPr>
              <w:t>1 week</w:t>
            </w:r>
          </w:p>
        </w:tc>
        <w:tc>
          <w:tcPr>
            <w:tcW w:type="dxa" w:w="3168"/>
            <w:shd w:val="clear" w:color="auto" w:fill="F3E5F5"/>
          </w:tcPr>
          <w:p>
            <w:pPr>
              <w:spacing w:before="40" w:after="40"/>
              <w:jc w:val="left"/>
            </w:pPr>
            <w:r>
              <w:rPr>
                <w:sz w:val="20"/>
              </w:rPr>
              <w:t>Replace climatological normals with weekly HKO observed AH in SARIMA</w:t>
            </w:r>
          </w:p>
        </w:tc>
        <w:tc>
          <w:tcPr>
            <w:tcW w:type="dxa" w:w="2736"/>
            <w:shd w:val="clear" w:color="auto" w:fill="F3E5F5"/>
          </w:tcPr>
          <w:p>
            <w:pPr>
              <w:spacing w:before="40" w:after="40"/>
              <w:jc w:val="left"/>
            </w:pPr>
            <w:r>
              <w:rPr>
                <w:sz w:val="20"/>
              </w:rPr>
              <w:t>Normalisation: rolling z-score vs fixed 30yr normals</w:t>
            </w:r>
          </w:p>
        </w:tc>
      </w:tr>
      <w:tr>
        <w:tc>
          <w:tcPr>
            <w:tcW w:type="dxa" w:w="2880"/>
            <w:shd w:val="clear" w:color="auto" w:fill="FFFFFF"/>
          </w:tcPr>
          <w:p>
            <w:pPr>
              <w:spacing w:before="40" w:after="40"/>
              <w:jc w:val="left"/>
            </w:pPr>
            <w:r>
              <w:rPr>
                <w:sz w:val="20"/>
              </w:rPr>
              <w:t>Wastewater surveillance integration</w:t>
            </w:r>
          </w:p>
        </w:tc>
        <w:tc>
          <w:tcPr>
            <w:tcW w:type="dxa" w:w="1296"/>
            <w:shd w:val="clear" w:color="auto" w:fill="FFFFFF"/>
          </w:tcPr>
          <w:p>
            <w:pPr>
              <w:spacing w:before="40" w:after="40"/>
              <w:jc w:val="left"/>
            </w:pPr>
            <w:r>
              <w:rPr>
                <w:sz w:val="20"/>
              </w:rPr>
              <w:t>2 weeks</w:t>
            </w:r>
          </w:p>
        </w:tc>
        <w:tc>
          <w:tcPr>
            <w:tcW w:type="dxa" w:w="3168"/>
            <w:shd w:val="clear" w:color="auto" w:fill="FFFFFF"/>
          </w:tcPr>
          <w:p>
            <w:pPr>
              <w:spacing w:before="40" w:after="40"/>
              <w:jc w:val="left"/>
            </w:pPr>
            <w:r>
              <w:rPr>
                <w:sz w:val="20"/>
              </w:rPr>
              <w:t>ww_model.py: lag analysis + feature for GB model</w:t>
            </w:r>
          </w:p>
        </w:tc>
        <w:tc>
          <w:tcPr>
            <w:tcW w:type="dxa" w:w="2736"/>
            <w:shd w:val="clear" w:color="auto" w:fill="FFFFFF"/>
          </w:tcPr>
          <w:p>
            <w:pPr>
              <w:spacing w:before="40" w:after="40"/>
              <w:jc w:val="left"/>
            </w:pPr>
            <w:r>
              <w:rPr>
                <w:sz w:val="20"/>
              </w:rPr>
              <w:t>Data access agreement; lag optimisation (2-4 weeks)</w:t>
            </w:r>
          </w:p>
        </w:tc>
      </w:tr>
      <w:tr>
        <w:tc>
          <w:tcPr>
            <w:tcW w:type="dxa" w:w="2880"/>
            <w:shd w:val="clear" w:color="auto" w:fill="F3E5F5"/>
          </w:tcPr>
          <w:p>
            <w:pPr>
              <w:spacing w:before="40" w:after="40"/>
              <w:jc w:val="left"/>
            </w:pPr>
            <w:r>
              <w:rPr>
                <w:sz w:val="20"/>
              </w:rPr>
              <w:t>Cross-border travel data integration</w:t>
            </w:r>
          </w:p>
        </w:tc>
        <w:tc>
          <w:tcPr>
            <w:tcW w:type="dxa" w:w="1296"/>
            <w:shd w:val="clear" w:color="auto" w:fill="F3E5F5"/>
          </w:tcPr>
          <w:p>
            <w:pPr>
              <w:spacing w:before="40" w:after="40"/>
              <w:jc w:val="left"/>
            </w:pPr>
            <w:r>
              <w:rPr>
                <w:sz w:val="20"/>
              </w:rPr>
              <w:t>1 week</w:t>
            </w:r>
          </w:p>
        </w:tc>
        <w:tc>
          <w:tcPr>
            <w:tcW w:type="dxa" w:w="3168"/>
            <w:shd w:val="clear" w:color="auto" w:fill="F3E5F5"/>
          </w:tcPr>
          <w:p>
            <w:pPr>
              <w:spacing w:before="40" w:after="40"/>
              <w:jc w:val="left"/>
            </w:pPr>
            <w:r>
              <w:rPr>
                <w:sz w:val="20"/>
              </w:rPr>
              <w:t>travel_feature.py: HK-Mainland weekly passenger volume</w:t>
            </w:r>
          </w:p>
        </w:tc>
        <w:tc>
          <w:tcPr>
            <w:tcW w:type="dxa" w:w="2736"/>
            <w:shd w:val="clear" w:color="auto" w:fill="F3E5F5"/>
          </w:tcPr>
          <w:p>
            <w:pPr>
              <w:spacing w:before="40" w:after="40"/>
              <w:jc w:val="left"/>
            </w:pPr>
            <w:r>
              <w:rPr>
                <w:sz w:val="20"/>
              </w:rPr>
              <w:t>IMMD or HKIA open data; handle COVID-era gap</w:t>
            </w:r>
          </w:p>
        </w:tc>
      </w:tr>
      <w:tr>
        <w:tc>
          <w:tcPr>
            <w:tcW w:type="dxa" w:w="2880"/>
            <w:shd w:val="clear" w:color="auto" w:fill="FFFFFF"/>
          </w:tcPr>
          <w:p>
            <w:pPr>
              <w:spacing w:before="40" w:after="40"/>
              <w:jc w:val="left"/>
            </w:pPr>
            <w:r>
              <w:rPr>
                <w:sz w:val="20"/>
              </w:rPr>
              <w:t>Gradient Boosting model (Model C)</w:t>
            </w:r>
          </w:p>
        </w:tc>
        <w:tc>
          <w:tcPr>
            <w:tcW w:type="dxa" w:w="1296"/>
            <w:shd w:val="clear" w:color="auto" w:fill="FFFFFF"/>
          </w:tcPr>
          <w:p>
            <w:pPr>
              <w:spacing w:before="40" w:after="40"/>
              <w:jc w:val="left"/>
            </w:pPr>
            <w:r>
              <w:rPr>
                <w:sz w:val="20"/>
              </w:rPr>
              <w:t>2 weeks</w:t>
            </w:r>
          </w:p>
        </w:tc>
        <w:tc>
          <w:tcPr>
            <w:tcW w:type="dxa" w:w="3168"/>
            <w:shd w:val="clear" w:color="auto" w:fill="FFFFFF"/>
          </w:tcPr>
          <w:p>
            <w:pPr>
              <w:spacing w:before="40" w:after="40"/>
              <w:jc w:val="left"/>
            </w:pPr>
            <w:r>
              <w:rPr>
                <w:sz w:val="20"/>
              </w:rPr>
              <w:t>gb_model.py: XGBoost/LightGBM + feature importance</w:t>
            </w:r>
          </w:p>
        </w:tc>
        <w:tc>
          <w:tcPr>
            <w:tcW w:type="dxa" w:w="2736"/>
            <w:shd w:val="clear" w:color="auto" w:fill="FFFFFF"/>
          </w:tcPr>
          <w:p>
            <w:pPr>
              <w:spacing w:before="40" w:after="40"/>
              <w:jc w:val="left"/>
            </w:pPr>
            <w:r>
              <w:rPr>
                <w:sz w:val="20"/>
              </w:rPr>
              <w:t>Feature set: lagged ILI+, AH, travel, wastewater, school</w:t>
            </w:r>
          </w:p>
        </w:tc>
      </w:tr>
      <w:tr>
        <w:tc>
          <w:tcPr>
            <w:tcW w:type="dxa" w:w="2880"/>
            <w:shd w:val="clear" w:color="auto" w:fill="F3E5F5"/>
          </w:tcPr>
          <w:p>
            <w:pPr>
              <w:spacing w:before="40" w:after="40"/>
              <w:jc w:val="left"/>
            </w:pPr>
            <w:r>
              <w:rPr>
                <w:sz w:val="20"/>
              </w:rPr>
              <w:t>AWBE implementation</w:t>
            </w:r>
          </w:p>
        </w:tc>
        <w:tc>
          <w:tcPr>
            <w:tcW w:type="dxa" w:w="1296"/>
            <w:shd w:val="clear" w:color="auto" w:fill="F3E5F5"/>
          </w:tcPr>
          <w:p>
            <w:pPr>
              <w:spacing w:before="40" w:after="40"/>
              <w:jc w:val="left"/>
            </w:pPr>
            <w:r>
              <w:rPr>
                <w:sz w:val="20"/>
              </w:rPr>
              <w:t>2 weeks</w:t>
            </w:r>
          </w:p>
        </w:tc>
        <w:tc>
          <w:tcPr>
            <w:tcW w:type="dxa" w:w="3168"/>
            <w:shd w:val="clear" w:color="auto" w:fill="F3E5F5"/>
          </w:tcPr>
          <w:p>
            <w:pPr>
              <w:spacing w:before="40" w:after="40"/>
              <w:jc w:val="left"/>
            </w:pPr>
            <w:r>
              <w:rPr>
                <w:sz w:val="20"/>
              </w:rPr>
              <w:t>awbe.py: sliding-window WIS tracker + softmax weight solver</w:t>
            </w:r>
          </w:p>
        </w:tc>
        <w:tc>
          <w:tcPr>
            <w:tcW w:type="dxa" w:w="2736"/>
            <w:shd w:val="clear" w:color="auto" w:fill="F3E5F5"/>
          </w:tcPr>
          <w:p>
            <w:pPr>
              <w:spacing w:before="40" w:after="40"/>
              <w:jc w:val="left"/>
            </w:pPr>
            <w:r>
              <w:rPr>
                <w:sz w:val="20"/>
              </w:rPr>
              <w:t>Window length N (recommend 8-12 weeks); min history threshold</w:t>
            </w:r>
          </w:p>
        </w:tc>
      </w:tr>
      <w:tr>
        <w:tc>
          <w:tcPr>
            <w:tcW w:type="dxa" w:w="2880"/>
            <w:shd w:val="clear" w:color="auto" w:fill="FFFFFF"/>
          </w:tcPr>
          <w:p>
            <w:pPr>
              <w:spacing w:before="40" w:after="40"/>
              <w:jc w:val="left"/>
            </w:pPr>
            <w:r>
              <w:rPr>
                <w:sz w:val="20"/>
              </w:rPr>
              <w:t>Wave detection algorithm</w:t>
            </w:r>
          </w:p>
        </w:tc>
        <w:tc>
          <w:tcPr>
            <w:tcW w:type="dxa" w:w="1296"/>
            <w:shd w:val="clear" w:color="auto" w:fill="FFFFFF"/>
          </w:tcPr>
          <w:p>
            <w:pPr>
              <w:spacing w:before="40" w:after="40"/>
              <w:jc w:val="left"/>
            </w:pPr>
            <w:r>
              <w:rPr>
                <w:sz w:val="20"/>
              </w:rPr>
              <w:t>1 week</w:t>
            </w:r>
          </w:p>
        </w:tc>
        <w:tc>
          <w:tcPr>
            <w:tcW w:type="dxa" w:w="3168"/>
            <w:shd w:val="clear" w:color="auto" w:fill="FFFFFF"/>
          </w:tcPr>
          <w:p>
            <w:pPr>
              <w:spacing w:before="40" w:after="40"/>
              <w:jc w:val="left"/>
            </w:pPr>
            <w:r>
              <w:rPr>
                <w:sz w:val="20"/>
              </w:rPr>
              <w:t>wave_detector.py: onset/peak/offset for winter+summer waves</w:t>
            </w:r>
          </w:p>
        </w:tc>
        <w:tc>
          <w:tcPr>
            <w:tcW w:type="dxa" w:w="2736"/>
            <w:shd w:val="clear" w:color="auto" w:fill="FFFFFF"/>
          </w:tcPr>
          <w:p>
            <w:pPr>
              <w:spacing w:before="40" w:after="40"/>
              <w:jc w:val="left"/>
            </w:pPr>
            <w:r>
              <w:rPr>
                <w:sz w:val="20"/>
              </w:rPr>
              <w:t>Threshold: % above baseline; minimum duration</w:t>
            </w:r>
          </w:p>
        </w:tc>
      </w:tr>
      <w:tr>
        <w:tc>
          <w:tcPr>
            <w:tcW w:type="dxa" w:w="2880"/>
            <w:shd w:val="clear" w:color="auto" w:fill="F3E5F5"/>
          </w:tcPr>
          <w:p>
            <w:pPr>
              <w:spacing w:before="40" w:after="40"/>
              <w:jc w:val="left"/>
            </w:pPr>
            <w:r>
              <w:rPr>
                <w:sz w:val="20"/>
              </w:rPr>
              <w:t>Wave-stratified evaluation</w:t>
            </w:r>
          </w:p>
        </w:tc>
        <w:tc>
          <w:tcPr>
            <w:tcW w:type="dxa" w:w="1296"/>
            <w:shd w:val="clear" w:color="auto" w:fill="F3E5F5"/>
          </w:tcPr>
          <w:p>
            <w:pPr>
              <w:spacing w:before="40" w:after="40"/>
              <w:jc w:val="left"/>
            </w:pPr>
            <w:r>
              <w:rPr>
                <w:sz w:val="20"/>
              </w:rPr>
              <w:t>1 week</w:t>
            </w:r>
          </w:p>
        </w:tc>
        <w:tc>
          <w:tcPr>
            <w:tcW w:type="dxa" w:w="3168"/>
            <w:shd w:val="clear" w:color="auto" w:fill="F3E5F5"/>
          </w:tcPr>
          <w:p>
            <w:pPr>
              <w:spacing w:before="40" w:after="40"/>
              <w:jc w:val="left"/>
            </w:pPr>
            <w:r>
              <w:rPr>
                <w:sz w:val="20"/>
              </w:rPr>
              <w:t>wave_eval.py: WIS by wave type and season</w:t>
            </w:r>
          </w:p>
        </w:tc>
        <w:tc>
          <w:tcPr>
            <w:tcW w:type="dxa" w:w="2736"/>
            <w:shd w:val="clear" w:color="auto" w:fill="F3E5F5"/>
          </w:tcPr>
          <w:p>
            <w:pPr>
              <w:spacing w:before="40" w:after="40"/>
              <w:jc w:val="left"/>
            </w:pPr>
            <w:r>
              <w:rPr>
                <w:sz w:val="20"/>
              </w:rPr>
              <w:t>Requires wave detector</w:t>
            </w:r>
          </w:p>
        </w:tc>
      </w:tr>
      <w:tr>
        <w:tc>
          <w:tcPr>
            <w:tcW w:type="dxa" w:w="2880"/>
            <w:shd w:val="clear" w:color="auto" w:fill="FFFFFF"/>
          </w:tcPr>
          <w:p>
            <w:pPr>
              <w:spacing w:before="40" w:after="40"/>
              <w:jc w:val="left"/>
            </w:pPr>
            <w:r>
              <w:rPr>
                <w:sz w:val="20"/>
              </w:rPr>
              <w:t>Leave-one-season-out CV</w:t>
            </w:r>
          </w:p>
        </w:tc>
        <w:tc>
          <w:tcPr>
            <w:tcW w:type="dxa" w:w="1296"/>
            <w:shd w:val="clear" w:color="auto" w:fill="FFFFFF"/>
          </w:tcPr>
          <w:p>
            <w:pPr>
              <w:spacing w:before="40" w:after="40"/>
              <w:jc w:val="left"/>
            </w:pPr>
            <w:r>
              <w:rPr>
                <w:sz w:val="20"/>
              </w:rPr>
              <w:t>1 week</w:t>
            </w:r>
          </w:p>
        </w:tc>
        <w:tc>
          <w:tcPr>
            <w:tcW w:type="dxa" w:w="3168"/>
            <w:shd w:val="clear" w:color="auto" w:fill="FFFFFF"/>
          </w:tcPr>
          <w:p>
            <w:pPr>
              <w:spacing w:before="40" w:after="40"/>
              <w:jc w:val="left"/>
            </w:pPr>
            <w:r>
              <w:rPr>
                <w:sz w:val="20"/>
              </w:rPr>
              <w:t>loso_cv.py: 5+ seasons, all models</w:t>
            </w:r>
          </w:p>
        </w:tc>
        <w:tc>
          <w:tcPr>
            <w:tcW w:type="dxa" w:w="2736"/>
            <w:shd w:val="clear" w:color="auto" w:fill="FFFFFF"/>
          </w:tcPr>
          <w:p>
            <w:pPr>
              <w:spacing w:before="40" w:after="40"/>
              <w:jc w:val="left"/>
            </w:pPr>
            <w:r>
              <w:rPr>
                <w:sz w:val="20"/>
              </w:rPr>
              <w:t>Define 'season' for bimodal HK (recommend: Oct-Sep epi-year)</w:t>
            </w:r>
          </w:p>
        </w:tc>
      </w:tr>
      <w:tr>
        <w:tc>
          <w:tcPr>
            <w:tcW w:type="dxa" w:w="2880"/>
            <w:shd w:val="clear" w:color="auto" w:fill="F3E5F5"/>
          </w:tcPr>
          <w:p>
            <w:pPr>
              <w:spacing w:before="40" w:after="40"/>
              <w:jc w:val="left"/>
            </w:pPr>
            <w:r>
              <w:rPr>
                <w:sz w:val="20"/>
              </w:rPr>
              <w:t>Strain adjustment: uncertainty-aware</w:t>
            </w:r>
          </w:p>
        </w:tc>
        <w:tc>
          <w:tcPr>
            <w:tcW w:type="dxa" w:w="1296"/>
            <w:shd w:val="clear" w:color="auto" w:fill="F3E5F5"/>
          </w:tcPr>
          <w:p>
            <w:pPr>
              <w:spacing w:before="40" w:after="40"/>
              <w:jc w:val="left"/>
            </w:pPr>
            <w:r>
              <w:rPr>
                <w:sz w:val="20"/>
              </w:rPr>
              <w:t>1 week</w:t>
            </w:r>
          </w:p>
        </w:tc>
        <w:tc>
          <w:tcPr>
            <w:tcW w:type="dxa" w:w="3168"/>
            <w:shd w:val="clear" w:color="auto" w:fill="F3E5F5"/>
          </w:tcPr>
          <w:p>
            <w:pPr>
              <w:spacing w:before="40" w:after="40"/>
              <w:jc w:val="left"/>
            </w:pPr>
            <w:r>
              <w:rPr>
                <w:sz w:val="20"/>
              </w:rPr>
              <w:t>Probabilistic strain multiplier using FluNet strain distribution</w:t>
            </w:r>
          </w:p>
        </w:tc>
        <w:tc>
          <w:tcPr>
            <w:tcW w:type="dxa" w:w="2736"/>
            <w:shd w:val="clear" w:color="auto" w:fill="F3E5F5"/>
          </w:tcPr>
          <w:p>
            <w:pPr>
              <w:spacing w:before="40" w:after="40"/>
              <w:jc w:val="left"/>
            </w:pPr>
            <w:r>
              <w:rPr>
                <w:sz w:val="20"/>
              </w:rPr>
              <w:t>Replace deterministic scalar with distribution-weighted adjustment</w:t>
            </w:r>
          </w:p>
        </w:tc>
      </w:tr>
      <w:tr>
        <w:tc>
          <w:tcPr>
            <w:tcW w:type="dxa" w:w="2880"/>
            <w:shd w:val="clear" w:color="auto" w:fill="FFFFFF"/>
          </w:tcPr>
          <w:p>
            <w:pPr>
              <w:spacing w:before="40" w:after="40"/>
              <w:jc w:val="left"/>
            </w:pPr>
            <w:r>
              <w:rPr>
                <w:sz w:val="20"/>
              </w:rPr>
              <w:t>Performance benchmarking vs literature</w:t>
            </w:r>
          </w:p>
        </w:tc>
        <w:tc>
          <w:tcPr>
            <w:tcW w:type="dxa" w:w="1296"/>
            <w:shd w:val="clear" w:color="auto" w:fill="FFFFFF"/>
          </w:tcPr>
          <w:p>
            <w:pPr>
              <w:spacing w:before="40" w:after="40"/>
              <w:jc w:val="left"/>
            </w:pPr>
            <w:r>
              <w:rPr>
                <w:sz w:val="20"/>
              </w:rPr>
              <w:t>1 week</w:t>
            </w:r>
          </w:p>
        </w:tc>
        <w:tc>
          <w:tcPr>
            <w:tcW w:type="dxa" w:w="3168"/>
            <w:shd w:val="clear" w:color="auto" w:fill="FFFFFF"/>
          </w:tcPr>
          <w:p>
            <w:pPr>
              <w:spacing w:before="40" w:after="40"/>
              <w:jc w:val="left"/>
            </w:pPr>
            <w:r>
              <w:rPr>
                <w:sz w:val="20"/>
              </w:rPr>
              <w:t>Comparison table vs published HK flu forecasting studies</w:t>
            </w:r>
          </w:p>
        </w:tc>
        <w:tc>
          <w:tcPr>
            <w:tcW w:type="dxa" w:w="2736"/>
            <w:shd w:val="clear" w:color="auto" w:fill="FFFFFF"/>
          </w:tcPr>
          <w:p>
            <w:pPr>
              <w:spacing w:before="40" w:after="40"/>
              <w:jc w:val="left"/>
            </w:pPr>
            <w:r>
              <w:rPr>
                <w:sz w:val="20"/>
              </w:rPr>
              <w:t>Identify 3-5 published benchmarks with comparable metrics</w:t>
            </w:r>
          </w:p>
        </w:tc>
      </w:tr>
    </w:tbl>
    <w:p/>
    <w:p>
      <w:pPr>
        <w:spacing w:after="240" w:before="0"/>
      </w:pPr>
      <w:r>
        <w:rPr>
          <w:sz w:val="22"/>
        </w:rPr>
        <w:t>Exit criterion: Three diverse models producing validated FluSight-format quantile submissions, combined by AWBE, with wave-stratified WIS scores computed across ≥5 seasons of leave-one-out CV.</w:t>
      </w:r>
    </w:p>
    <w:p>
      <w:pPr>
        <w:pStyle w:val="Heading2"/>
        <w:spacing w:before="240" w:after="80"/>
      </w:pPr>
      <w:r>
        <w:rPr>
          <w:b/>
          <w:color w:val="1F497D"/>
          <w:sz w:val="26"/>
        </w:rPr>
        <w:t>Phase 3: Hub Architecture &amp; Distribution (Weeks 29-42)</w:t>
      </w:r>
    </w:p>
    <w:tbl>
      <w:tblPr>
        <w:tblW w:type="auto" w:w="0"/>
        <w:jc w:val="left"/>
        <w:tblLook w:firstColumn="1" w:firstRow="1" w:lastColumn="0" w:lastRow="0" w:noHBand="0" w:noVBand="1" w:val="04A0"/>
      </w:tblPr>
      <w:tblGrid>
        <w:gridCol w:w="9360"/>
      </w:tblGrid>
      <w:tr>
        <w:tc>
          <w:tcPr>
            <w:tcW w:type="dxa" w:w="9360"/>
            <w:shd w:val="clear" w:color="auto" w:fill="FFF8E1"/>
          </w:tcPr>
          <w:p>
            <w:pPr>
              <w:spacing w:before="80" w:after="80"/>
            </w:pPr>
            <w:r>
              <w:rPr>
                <w:b/>
                <w:sz w:val="20"/>
              </w:rPr>
              <w:t xml:space="preserve">Phase Goal:  </w:t>
            </w:r>
            <w:r>
              <w:rPr>
                <w:sz w:val="20"/>
              </w:rPr>
              <w:t>Goal: Transform the single-researcher pipeline into a multi-institutional hub. Establish model submission protocol, public API, and operational dashboard. Onboard first external model contributor.</w:t>
            </w:r>
          </w:p>
        </w:tc>
      </w:tr>
    </w:tbl>
    <w:p>
      <w:pPr>
        <w:spacing w:after="80"/>
      </w:pPr>
    </w:p>
    <w:tbl>
      <w:tblPr>
        <w:tblStyle w:val="TableGrid"/>
        <w:tblW w:type="auto" w:w="0"/>
        <w:jc w:val="left"/>
        <w:tblLook w:firstColumn="1" w:firstRow="1" w:lastColumn="0" w:lastRow="0" w:noHBand="0" w:noVBand="1" w:val="04A0"/>
      </w:tblPr>
      <w:tblGrid>
        <w:gridCol w:w="3312"/>
        <w:gridCol w:w="1296"/>
        <w:gridCol w:w="5472"/>
      </w:tblGrid>
      <w:tr>
        <w:tc>
          <w:tcPr>
            <w:tcW w:type="dxa" w:w="3312"/>
            <w:shd w:val="clear" w:color="auto" w:fill="E65100"/>
          </w:tcPr>
          <w:p>
            <w:pPr>
              <w:spacing w:before="60" w:after="60"/>
              <w:jc w:val="left"/>
            </w:pPr>
            <w:r>
              <w:rPr>
                <w:b/>
                <w:color w:val="FFFFFF"/>
                <w:sz w:val="20"/>
              </w:rPr>
              <w:t>Task</w:t>
            </w:r>
          </w:p>
        </w:tc>
        <w:tc>
          <w:tcPr>
            <w:tcW w:type="dxa" w:w="1296"/>
            <w:shd w:val="clear" w:color="auto" w:fill="E65100"/>
          </w:tcPr>
          <w:p>
            <w:pPr>
              <w:spacing w:before="60" w:after="60"/>
              <w:jc w:val="left"/>
            </w:pPr>
            <w:r>
              <w:rPr>
                <w:b/>
                <w:color w:val="FFFFFF"/>
                <w:sz w:val="20"/>
              </w:rPr>
              <w:t>Effort</w:t>
            </w:r>
          </w:p>
        </w:tc>
        <w:tc>
          <w:tcPr>
            <w:tcW w:type="dxa" w:w="5472"/>
            <w:shd w:val="clear" w:color="auto" w:fill="E65100"/>
          </w:tcPr>
          <w:p>
            <w:pPr>
              <w:spacing w:before="60" w:after="60"/>
              <w:jc w:val="left"/>
            </w:pPr>
            <w:r>
              <w:rPr>
                <w:b/>
                <w:color w:val="FFFFFF"/>
                <w:sz w:val="20"/>
              </w:rPr>
              <w:t>Output</w:t>
            </w:r>
          </w:p>
        </w:tc>
      </w:tr>
      <w:tr>
        <w:tc>
          <w:tcPr>
            <w:tcW w:type="dxa" w:w="3312"/>
            <w:shd w:val="clear" w:color="auto" w:fill="FFFFFF"/>
          </w:tcPr>
          <w:p>
            <w:pPr>
              <w:spacing w:before="40" w:after="40"/>
              <w:jc w:val="left"/>
            </w:pPr>
            <w:r>
              <w:rPr>
                <w:sz w:val="20"/>
              </w:rPr>
              <w:t>Hub specification document</w:t>
            </w:r>
          </w:p>
        </w:tc>
        <w:tc>
          <w:tcPr>
            <w:tcW w:type="dxa" w:w="1296"/>
            <w:shd w:val="clear" w:color="auto" w:fill="FFFFFF"/>
          </w:tcPr>
          <w:p>
            <w:pPr>
              <w:spacing w:before="40" w:after="40"/>
              <w:jc w:val="left"/>
            </w:pPr>
            <w:r>
              <w:rPr>
                <w:sz w:val="20"/>
              </w:rPr>
              <w:t>1 week</w:t>
            </w:r>
          </w:p>
        </w:tc>
        <w:tc>
          <w:tcPr>
            <w:tcW w:type="dxa" w:w="5472"/>
            <w:shd w:val="clear" w:color="auto" w:fill="FFFFFF"/>
          </w:tcPr>
          <w:p>
            <w:pPr>
              <w:spacing w:before="40" w:after="40"/>
              <w:jc w:val="left"/>
            </w:pPr>
            <w:r>
              <w:rPr>
                <w:sz w:val="20"/>
              </w:rPr>
              <w:t>Formal model submission protocol; data dictionary; quantile spec; evaluation criteria</w:t>
            </w:r>
          </w:p>
        </w:tc>
      </w:tr>
      <w:tr>
        <w:tc>
          <w:tcPr>
            <w:tcW w:type="dxa" w:w="3312"/>
            <w:shd w:val="clear" w:color="auto" w:fill="FFF8E1"/>
          </w:tcPr>
          <w:p>
            <w:pPr>
              <w:spacing w:before="40" w:after="40"/>
              <w:jc w:val="left"/>
            </w:pPr>
            <w:r>
              <w:rPr>
                <w:sz w:val="20"/>
              </w:rPr>
              <w:t>External model submission portal</w:t>
            </w:r>
          </w:p>
        </w:tc>
        <w:tc>
          <w:tcPr>
            <w:tcW w:type="dxa" w:w="1296"/>
            <w:shd w:val="clear" w:color="auto" w:fill="FFF8E1"/>
          </w:tcPr>
          <w:p>
            <w:pPr>
              <w:spacing w:before="40" w:after="40"/>
              <w:jc w:val="left"/>
            </w:pPr>
            <w:r>
              <w:rPr>
                <w:sz w:val="20"/>
              </w:rPr>
              <w:t>2 weeks</w:t>
            </w:r>
          </w:p>
        </w:tc>
        <w:tc>
          <w:tcPr>
            <w:tcW w:type="dxa" w:w="5472"/>
            <w:shd w:val="clear" w:color="auto" w:fill="FFF8E1"/>
          </w:tcPr>
          <w:p>
            <w:pPr>
              <w:spacing w:before="40" w:after="40"/>
              <w:jc w:val="left"/>
            </w:pPr>
            <w:r>
              <w:rPr>
                <w:sz w:val="20"/>
              </w:rPr>
              <w:t>GitHub-based submission workflow (PR or API endpoint); automated validation on submission</w:t>
            </w:r>
          </w:p>
        </w:tc>
      </w:tr>
      <w:tr>
        <w:tc>
          <w:tcPr>
            <w:tcW w:type="dxa" w:w="3312"/>
            <w:shd w:val="clear" w:color="auto" w:fill="FFFFFF"/>
          </w:tcPr>
          <w:p>
            <w:pPr>
              <w:spacing w:before="40" w:after="40"/>
              <w:jc w:val="left"/>
            </w:pPr>
            <w:r>
              <w:rPr>
                <w:sz w:val="20"/>
              </w:rPr>
              <w:t>Model metadata registry</w:t>
            </w:r>
          </w:p>
        </w:tc>
        <w:tc>
          <w:tcPr>
            <w:tcW w:type="dxa" w:w="1296"/>
            <w:shd w:val="clear" w:color="auto" w:fill="FFFFFF"/>
          </w:tcPr>
          <w:p>
            <w:pPr>
              <w:spacing w:before="40" w:after="40"/>
              <w:jc w:val="left"/>
            </w:pPr>
            <w:r>
              <w:rPr>
                <w:sz w:val="20"/>
              </w:rPr>
              <w:t>1 week</w:t>
            </w:r>
          </w:p>
        </w:tc>
        <w:tc>
          <w:tcPr>
            <w:tcW w:type="dxa" w:w="5472"/>
            <w:shd w:val="clear" w:color="auto" w:fill="FFFFFF"/>
          </w:tcPr>
          <w:p>
            <w:pPr>
              <w:spacing w:before="40" w:after="40"/>
              <w:jc w:val="left"/>
            </w:pPr>
            <w:r>
              <w:rPr>
                <w:sz w:val="20"/>
              </w:rPr>
              <w:t>model_registry.json: model_id, institution, method, data_sources, contact</w:t>
            </w:r>
          </w:p>
        </w:tc>
      </w:tr>
      <w:tr>
        <w:tc>
          <w:tcPr>
            <w:tcW w:type="dxa" w:w="3312"/>
            <w:shd w:val="clear" w:color="auto" w:fill="FFF8E1"/>
          </w:tcPr>
          <w:p>
            <w:pPr>
              <w:spacing w:before="40" w:after="40"/>
              <w:jc w:val="left"/>
            </w:pPr>
            <w:r>
              <w:rPr>
                <w:sz w:val="20"/>
              </w:rPr>
              <w:t>Public machine-readable API (v1)</w:t>
            </w:r>
          </w:p>
        </w:tc>
        <w:tc>
          <w:tcPr>
            <w:tcW w:type="dxa" w:w="1296"/>
            <w:shd w:val="clear" w:color="auto" w:fill="FFF8E1"/>
          </w:tcPr>
          <w:p>
            <w:pPr>
              <w:spacing w:before="40" w:after="40"/>
              <w:jc w:val="left"/>
            </w:pPr>
            <w:r>
              <w:rPr>
                <w:sz w:val="20"/>
              </w:rPr>
              <w:t>3 weeks</w:t>
            </w:r>
          </w:p>
        </w:tc>
        <w:tc>
          <w:tcPr>
            <w:tcW w:type="dxa" w:w="5472"/>
            <w:shd w:val="clear" w:color="auto" w:fill="FFF8E1"/>
          </w:tcPr>
          <w:p>
            <w:pPr>
              <w:spacing w:before="40" w:after="40"/>
              <w:jc w:val="left"/>
            </w:pPr>
            <w:r>
              <w:rPr>
                <w:sz w:val="20"/>
              </w:rPr>
              <w:t>REST API: /forecasts, /scores, /models, /data; JSON + CSV; OpenAPI spec</w:t>
            </w:r>
          </w:p>
        </w:tc>
      </w:tr>
      <w:tr>
        <w:tc>
          <w:tcPr>
            <w:tcW w:type="dxa" w:w="3312"/>
            <w:shd w:val="clear" w:color="auto" w:fill="FFFFFF"/>
          </w:tcPr>
          <w:p>
            <w:pPr>
              <w:spacing w:before="40" w:after="40"/>
              <w:jc w:val="left"/>
            </w:pPr>
            <w:r>
              <w:rPr>
                <w:sz w:val="20"/>
              </w:rPr>
              <w:t>CHP operational dashboard (prototype)</w:t>
            </w:r>
          </w:p>
        </w:tc>
        <w:tc>
          <w:tcPr>
            <w:tcW w:type="dxa" w:w="1296"/>
            <w:shd w:val="clear" w:color="auto" w:fill="FFFFFF"/>
          </w:tcPr>
          <w:p>
            <w:pPr>
              <w:spacing w:before="40" w:after="40"/>
              <w:jc w:val="left"/>
            </w:pPr>
            <w:r>
              <w:rPr>
                <w:sz w:val="20"/>
              </w:rPr>
              <w:t>2 weeks</w:t>
            </w:r>
          </w:p>
        </w:tc>
        <w:tc>
          <w:tcPr>
            <w:tcW w:type="dxa" w:w="5472"/>
            <w:shd w:val="clear" w:color="auto" w:fill="FFFFFF"/>
          </w:tcPr>
          <w:p>
            <w:pPr>
              <w:spacing w:before="40" w:after="40"/>
              <w:jc w:val="left"/>
            </w:pPr>
            <w:r>
              <w:rPr>
                <w:sz w:val="20"/>
              </w:rPr>
              <w:t>Web dashboard: current ensemble forecast, peak alerts, wave status, WIS trend</w:t>
            </w:r>
          </w:p>
        </w:tc>
      </w:tr>
      <w:tr>
        <w:tc>
          <w:tcPr>
            <w:tcW w:type="dxa" w:w="3312"/>
            <w:shd w:val="clear" w:color="auto" w:fill="FFF8E1"/>
          </w:tcPr>
          <w:p>
            <w:pPr>
              <w:spacing w:before="40" w:after="40"/>
              <w:jc w:val="left"/>
            </w:pPr>
            <w:r>
              <w:rPr>
                <w:sz w:val="20"/>
              </w:rPr>
              <w:t>First external model onboarding</w:t>
            </w:r>
          </w:p>
        </w:tc>
        <w:tc>
          <w:tcPr>
            <w:tcW w:type="dxa" w:w="1296"/>
            <w:shd w:val="clear" w:color="auto" w:fill="FFF8E1"/>
          </w:tcPr>
          <w:p>
            <w:pPr>
              <w:spacing w:before="40" w:after="40"/>
              <w:jc w:val="left"/>
            </w:pPr>
            <w:r>
              <w:rPr>
                <w:sz w:val="20"/>
              </w:rPr>
              <w:t>2 weeks</w:t>
            </w:r>
          </w:p>
        </w:tc>
        <w:tc>
          <w:tcPr>
            <w:tcW w:type="dxa" w:w="5472"/>
            <w:shd w:val="clear" w:color="auto" w:fill="FFF8E1"/>
          </w:tcPr>
          <w:p>
            <w:pPr>
              <w:spacing w:before="40" w:after="40"/>
              <w:jc w:val="left"/>
            </w:pPr>
            <w:r>
              <w:rPr>
                <w:sz w:val="20"/>
              </w:rPr>
              <w:t>One HKU or CUHK team submitting model to hub; documented onboarding guide</w:t>
            </w:r>
          </w:p>
        </w:tc>
      </w:tr>
      <w:tr>
        <w:tc>
          <w:tcPr>
            <w:tcW w:type="dxa" w:w="3312"/>
            <w:shd w:val="clear" w:color="auto" w:fill="FFFFFF"/>
          </w:tcPr>
          <w:p>
            <w:pPr>
              <w:spacing w:before="40" w:after="40"/>
              <w:jc w:val="left"/>
            </w:pPr>
            <w:r>
              <w:rPr>
                <w:sz w:val="20"/>
              </w:rPr>
              <w:t>Governance document v1</w:t>
            </w:r>
          </w:p>
        </w:tc>
        <w:tc>
          <w:tcPr>
            <w:tcW w:type="dxa" w:w="1296"/>
            <w:shd w:val="clear" w:color="auto" w:fill="FFFFFF"/>
          </w:tcPr>
          <w:p>
            <w:pPr>
              <w:spacing w:before="40" w:after="40"/>
              <w:jc w:val="left"/>
            </w:pPr>
            <w:r>
              <w:rPr>
                <w:sz w:val="20"/>
              </w:rPr>
              <w:t>1 week</w:t>
            </w:r>
          </w:p>
        </w:tc>
        <w:tc>
          <w:tcPr>
            <w:tcW w:type="dxa" w:w="5472"/>
            <w:shd w:val="clear" w:color="auto" w:fill="FFFFFF"/>
          </w:tcPr>
          <w:p>
            <w:pPr>
              <w:spacing w:before="40" w:after="40"/>
              <w:jc w:val="left"/>
            </w:pPr>
            <w:r>
              <w:rPr>
                <w:sz w:val="20"/>
              </w:rPr>
              <w:t>Terms of participation, data sharing, authorship policy, model acceptance criteria</w:t>
            </w:r>
          </w:p>
        </w:tc>
      </w:tr>
      <w:tr>
        <w:tc>
          <w:tcPr>
            <w:tcW w:type="dxa" w:w="3312"/>
            <w:shd w:val="clear" w:color="auto" w:fill="FFF8E1"/>
          </w:tcPr>
          <w:p>
            <w:pPr>
              <w:spacing w:before="40" w:after="40"/>
              <w:jc w:val="left"/>
            </w:pPr>
            <w:r>
              <w:rPr>
                <w:sz w:val="20"/>
              </w:rPr>
              <w:t>Pilot evaluation report</w:t>
            </w:r>
          </w:p>
        </w:tc>
        <w:tc>
          <w:tcPr>
            <w:tcW w:type="dxa" w:w="1296"/>
            <w:shd w:val="clear" w:color="auto" w:fill="FFF8E1"/>
          </w:tcPr>
          <w:p>
            <w:pPr>
              <w:spacing w:before="40" w:after="40"/>
              <w:jc w:val="left"/>
            </w:pPr>
            <w:r>
              <w:rPr>
                <w:sz w:val="20"/>
              </w:rPr>
              <w:t>1 week</w:t>
            </w:r>
          </w:p>
        </w:tc>
        <w:tc>
          <w:tcPr>
            <w:tcW w:type="dxa" w:w="5472"/>
            <w:shd w:val="clear" w:color="auto" w:fill="FFF8E1"/>
          </w:tcPr>
          <w:p>
            <w:pPr>
              <w:spacing w:before="40" w:after="40"/>
              <w:jc w:val="left"/>
            </w:pPr>
            <w:r>
              <w:rPr>
                <w:sz w:val="20"/>
              </w:rPr>
              <w:t>Assessment of first full season with multi-model hub</w:t>
            </w:r>
          </w:p>
        </w:tc>
      </w:tr>
    </w:tbl>
    <w:p/>
    <w:p>
      <w:pPr>
        <w:pStyle w:val="Heading2"/>
        <w:spacing w:before="240" w:after="80"/>
      </w:pPr>
      <w:r>
        <w:rPr>
          <w:b/>
          <w:color w:val="1F497D"/>
          <w:sz w:val="26"/>
        </w:rPr>
        <w:t>Phase 4: Governance, Sustainability &amp; Operations (Weeks 43+)</w:t>
      </w:r>
    </w:p>
    <w:tbl>
      <w:tblPr>
        <w:tblStyle w:val="TableGrid"/>
        <w:tblW w:type="auto" w:w="0"/>
        <w:jc w:val="left"/>
        <w:tblLook w:firstColumn="1" w:firstRow="1" w:lastColumn="0" w:lastRow="0" w:noHBand="0" w:noVBand="1" w:val="04A0"/>
      </w:tblPr>
      <w:tblGrid>
        <w:gridCol w:w="3600"/>
        <w:gridCol w:w="6480"/>
      </w:tblGrid>
      <w:tr>
        <w:tc>
          <w:tcPr>
            <w:tcW w:type="dxa" w:w="3600"/>
            <w:shd w:val="clear" w:color="auto" w:fill="37474F"/>
          </w:tcPr>
          <w:p>
            <w:pPr>
              <w:spacing w:before="60" w:after="60"/>
              <w:jc w:val="left"/>
            </w:pPr>
            <w:r>
              <w:rPr>
                <w:b/>
                <w:color w:val="FFFFFF"/>
                <w:sz w:val="20"/>
              </w:rPr>
              <w:t>Task</w:t>
            </w:r>
          </w:p>
        </w:tc>
        <w:tc>
          <w:tcPr>
            <w:tcW w:type="dxa" w:w="6480"/>
            <w:shd w:val="clear" w:color="auto" w:fill="37474F"/>
          </w:tcPr>
          <w:p>
            <w:pPr>
              <w:spacing w:before="60" w:after="60"/>
              <w:jc w:val="left"/>
            </w:pPr>
            <w:r>
              <w:rPr>
                <w:b/>
                <w:color w:val="FFFFFF"/>
                <w:sz w:val="20"/>
              </w:rPr>
              <w:t>Milestone</w:t>
            </w:r>
          </w:p>
        </w:tc>
      </w:tr>
      <w:tr>
        <w:tc>
          <w:tcPr>
            <w:tcW w:type="dxa" w:w="3600"/>
            <w:shd w:val="clear" w:color="auto" w:fill="FFFFFF"/>
          </w:tcPr>
          <w:p>
            <w:pPr>
              <w:spacing w:before="40" w:after="40"/>
              <w:jc w:val="left"/>
            </w:pPr>
            <w:r>
              <w:rPr>
                <w:sz w:val="20"/>
              </w:rPr>
              <w:t>Formal CHP partnership agreement</w:t>
            </w:r>
          </w:p>
        </w:tc>
        <w:tc>
          <w:tcPr>
            <w:tcW w:type="dxa" w:w="6480"/>
            <w:shd w:val="clear" w:color="auto" w:fill="FFFFFF"/>
          </w:tcPr>
          <w:p>
            <w:pPr>
              <w:spacing w:before="40" w:after="40"/>
              <w:jc w:val="left"/>
            </w:pPr>
            <w:r>
              <w:rPr>
                <w:sz w:val="20"/>
              </w:rPr>
              <w:t>Operational data sharing MOU; CHP integrated into governance board</w:t>
            </w:r>
          </w:p>
        </w:tc>
      </w:tr>
      <w:tr>
        <w:tc>
          <w:tcPr>
            <w:tcW w:type="dxa" w:w="3600"/>
            <w:shd w:val="clear" w:color="auto" w:fill="ECEFF1"/>
          </w:tcPr>
          <w:p>
            <w:pPr>
              <w:spacing w:before="40" w:after="40"/>
              <w:jc w:val="left"/>
            </w:pPr>
            <w:r>
              <w:rPr>
                <w:sz w:val="20"/>
              </w:rPr>
              <w:t>RGC / ITF funding application</w:t>
            </w:r>
          </w:p>
        </w:tc>
        <w:tc>
          <w:tcPr>
            <w:tcW w:type="dxa" w:w="6480"/>
            <w:shd w:val="clear" w:color="auto" w:fill="ECEFF1"/>
          </w:tcPr>
          <w:p>
            <w:pPr>
              <w:spacing w:before="40" w:after="40"/>
              <w:jc w:val="left"/>
            </w:pPr>
            <w:r>
              <w:rPr>
                <w:sz w:val="20"/>
              </w:rPr>
              <w:t>Grant application submitted; HK-FluEns as named deliverable</w:t>
            </w:r>
          </w:p>
        </w:tc>
      </w:tr>
      <w:tr>
        <w:tc>
          <w:tcPr>
            <w:tcW w:type="dxa" w:w="3600"/>
            <w:shd w:val="clear" w:color="auto" w:fill="FFFFFF"/>
          </w:tcPr>
          <w:p>
            <w:pPr>
              <w:spacing w:before="40" w:after="40"/>
              <w:jc w:val="left"/>
            </w:pPr>
            <w:r>
              <w:rPr>
                <w:sz w:val="20"/>
              </w:rPr>
              <w:t>HKU School of Public Health hosting agreement</w:t>
            </w:r>
          </w:p>
        </w:tc>
        <w:tc>
          <w:tcPr>
            <w:tcW w:type="dxa" w:w="6480"/>
            <w:shd w:val="clear" w:color="auto" w:fill="FFFFFF"/>
          </w:tcPr>
          <w:p>
            <w:pPr>
              <w:spacing w:before="40" w:after="40"/>
              <w:jc w:val="left"/>
            </w:pPr>
            <w:r>
              <w:rPr>
                <w:sz w:val="20"/>
              </w:rPr>
              <w:t>Server infrastructure; institutional review board alignment</w:t>
            </w:r>
          </w:p>
        </w:tc>
      </w:tr>
      <w:tr>
        <w:tc>
          <w:tcPr>
            <w:tcW w:type="dxa" w:w="3600"/>
            <w:shd w:val="clear" w:color="auto" w:fill="ECEFF1"/>
          </w:tcPr>
          <w:p>
            <w:pPr>
              <w:spacing w:before="40" w:after="40"/>
              <w:jc w:val="left"/>
            </w:pPr>
            <w:r>
              <w:rPr>
                <w:sz w:val="20"/>
              </w:rPr>
              <w:t>Year 1 operational review</w:t>
            </w:r>
          </w:p>
        </w:tc>
        <w:tc>
          <w:tcPr>
            <w:tcW w:type="dxa" w:w="6480"/>
            <w:shd w:val="clear" w:color="auto" w:fill="ECEFF1"/>
          </w:tcPr>
          <w:p>
            <w:pPr>
              <w:spacing w:before="40" w:after="40"/>
              <w:jc w:val="left"/>
            </w:pPr>
            <w:r>
              <w:rPr>
                <w:sz w:val="20"/>
              </w:rPr>
              <w:t>Annual assessment of model performance, data quality, and partner satisfaction</w:t>
            </w:r>
          </w:p>
        </w:tc>
      </w:tr>
      <w:tr>
        <w:tc>
          <w:tcPr>
            <w:tcW w:type="dxa" w:w="3600"/>
            <w:shd w:val="clear" w:color="auto" w:fill="FFFFFF"/>
          </w:tcPr>
          <w:p>
            <w:pPr>
              <w:spacing w:before="40" w:after="40"/>
              <w:jc w:val="left"/>
            </w:pPr>
            <w:r>
              <w:rPr>
                <w:sz w:val="20"/>
              </w:rPr>
              <w:t>Journal publication: methods paper</w:t>
            </w:r>
          </w:p>
        </w:tc>
        <w:tc>
          <w:tcPr>
            <w:tcW w:type="dxa" w:w="6480"/>
            <w:shd w:val="clear" w:color="auto" w:fill="FFFFFF"/>
          </w:tcPr>
          <w:p>
            <w:pPr>
              <w:spacing w:before="40" w:after="40"/>
              <w:jc w:val="left"/>
            </w:pPr>
            <w:r>
              <w:rPr>
                <w:sz w:val="20"/>
              </w:rPr>
              <w:t>Peer-reviewed methods paper describing HK-FluEns architecture, evaluation, and first-season results</w:t>
            </w:r>
          </w:p>
        </w:tc>
      </w:tr>
      <w:tr>
        <w:tc>
          <w:tcPr>
            <w:tcW w:type="dxa" w:w="3600"/>
            <w:shd w:val="clear" w:color="auto" w:fill="ECEFF1"/>
          </w:tcPr>
          <w:p>
            <w:pPr>
              <w:spacing w:before="40" w:after="40"/>
              <w:jc w:val="left"/>
            </w:pPr>
            <w:r>
              <w:rPr>
                <w:sz w:val="20"/>
              </w:rPr>
              <w:t>APEC / WHO WPRO engagement</w:t>
            </w:r>
          </w:p>
        </w:tc>
        <w:tc>
          <w:tcPr>
            <w:tcW w:type="dxa" w:w="6480"/>
            <w:shd w:val="clear" w:color="auto" w:fill="ECEFF1"/>
          </w:tcPr>
          <w:p>
            <w:pPr>
              <w:spacing w:before="40" w:after="40"/>
              <w:jc w:val="left"/>
            </w:pPr>
            <w:r>
              <w:rPr>
                <w:sz w:val="20"/>
              </w:rPr>
              <w:t>Present HK-FluEns as regional model for FluSight-style networks in Asia-Pacific</w:t>
            </w:r>
          </w:p>
        </w:tc>
      </w:tr>
    </w:tbl>
    <w:p/>
    <w:p/>
    <w:p>
      <w:pPr>
        <w:pStyle w:val="Heading2"/>
        <w:spacing w:before="240" w:after="80"/>
      </w:pPr>
      <w:r>
        <w:rPr>
          <w:b/>
          <w:color w:val="1F497D"/>
          <w:sz w:val="26"/>
        </w:rPr>
        <w:t>4.1  Roadmap Summary Timeline</w:t>
      </w:r>
    </w:p>
    <w:tbl>
      <w:tblPr>
        <w:tblStyle w:val="TableGrid"/>
        <w:tblW w:type="auto" w:w="0"/>
        <w:jc w:val="left"/>
        <w:tblLook w:firstColumn="1" w:firstRow="1" w:lastColumn="0" w:lastRow="0" w:noHBand="0" w:noVBand="1" w:val="04A0"/>
      </w:tblPr>
      <w:tblGrid>
        <w:gridCol w:w="2592"/>
        <w:gridCol w:w="1152"/>
        <w:gridCol w:w="5040"/>
        <w:gridCol w:w="2016"/>
      </w:tblGrid>
      <w:tr>
        <w:tc>
          <w:tcPr>
            <w:tcW w:type="dxa" w:w="2592"/>
            <w:shd w:val="clear" w:color="auto" w:fill="1F4978"/>
          </w:tcPr>
          <w:p>
            <w:pPr>
              <w:spacing w:before="60" w:after="60"/>
              <w:jc w:val="left"/>
            </w:pPr>
            <w:r>
              <w:rPr>
                <w:b/>
                <w:color w:val="FFFFFF"/>
                <w:sz w:val="20"/>
              </w:rPr>
              <w:t>Phase</w:t>
            </w:r>
          </w:p>
        </w:tc>
        <w:tc>
          <w:tcPr>
            <w:tcW w:type="dxa" w:w="1152"/>
            <w:shd w:val="clear" w:color="auto" w:fill="1F4978"/>
          </w:tcPr>
          <w:p>
            <w:pPr>
              <w:spacing w:before="60" w:after="60"/>
              <w:jc w:val="left"/>
            </w:pPr>
            <w:r>
              <w:rPr>
                <w:b/>
                <w:color w:val="FFFFFF"/>
                <w:sz w:val="20"/>
              </w:rPr>
              <w:t>Weeks</w:t>
            </w:r>
          </w:p>
        </w:tc>
        <w:tc>
          <w:tcPr>
            <w:tcW w:type="dxa" w:w="5040"/>
            <w:shd w:val="clear" w:color="auto" w:fill="1F4978"/>
          </w:tcPr>
          <w:p>
            <w:pPr>
              <w:spacing w:before="60" w:after="60"/>
              <w:jc w:val="left"/>
            </w:pPr>
            <w:r>
              <w:rPr>
                <w:b/>
                <w:color w:val="FFFFFF"/>
                <w:sz w:val="20"/>
              </w:rPr>
              <w:t>Key Deliverable</w:t>
            </w:r>
          </w:p>
        </w:tc>
        <w:tc>
          <w:tcPr>
            <w:tcW w:type="dxa" w:w="2016"/>
            <w:shd w:val="clear" w:color="auto" w:fill="1F4978"/>
          </w:tcPr>
          <w:p>
            <w:pPr>
              <w:spacing w:before="60" w:after="60"/>
              <w:jc w:val="left"/>
            </w:pPr>
            <w:r>
              <w:rPr>
                <w:b/>
                <w:color w:val="FFFFFF"/>
                <w:sz w:val="20"/>
              </w:rPr>
              <w:t>Status</w:t>
            </w:r>
          </w:p>
        </w:tc>
      </w:tr>
      <w:tr>
        <w:tc>
          <w:tcPr>
            <w:tcW w:type="dxa" w:w="2592"/>
            <w:shd w:val="clear" w:color="auto" w:fill="FFFFFF"/>
          </w:tcPr>
          <w:p>
            <w:pPr>
              <w:spacing w:before="40" w:after="40"/>
              <w:jc w:val="left"/>
            </w:pPr>
            <w:r>
              <w:rPr>
                <w:sz w:val="20"/>
              </w:rPr>
              <w:t>Phase 0: Foundation</w:t>
            </w:r>
          </w:p>
        </w:tc>
        <w:tc>
          <w:tcPr>
            <w:tcW w:type="dxa" w:w="1152"/>
            <w:shd w:val="clear" w:color="auto" w:fill="FFFFFF"/>
          </w:tcPr>
          <w:p>
            <w:pPr>
              <w:spacing w:before="40" w:after="40"/>
              <w:jc w:val="left"/>
            </w:pPr>
            <w:r>
              <w:rPr>
                <w:sz w:val="20"/>
              </w:rPr>
              <w:t>1-4</w:t>
            </w:r>
          </w:p>
        </w:tc>
        <w:tc>
          <w:tcPr>
            <w:tcW w:type="dxa" w:w="5040"/>
            <w:shd w:val="clear" w:color="auto" w:fill="FFFFFF"/>
          </w:tcPr>
          <w:p>
            <w:pPr>
              <w:spacing w:before="40" w:after="40"/>
              <w:jc w:val="left"/>
            </w:pPr>
            <w:r>
              <w:rPr>
                <w:sz w:val="20"/>
              </w:rPr>
              <w:t>Scripts 01-06 reconstructed; WIS scoring; end-to-end test</w:t>
            </w:r>
          </w:p>
        </w:tc>
        <w:tc>
          <w:tcPr>
            <w:tcW w:type="dxa" w:w="2016"/>
            <w:shd w:val="clear" w:color="auto" w:fill="FFFFFF"/>
          </w:tcPr>
          <w:p>
            <w:pPr>
              <w:spacing w:before="40" w:after="40"/>
              <w:jc w:val="left"/>
            </w:pPr>
            <w:r>
              <w:rPr>
                <w:sz w:val="20"/>
              </w:rPr>
              <w:t>START NOW</w:t>
            </w:r>
          </w:p>
        </w:tc>
      </w:tr>
      <w:tr>
        <w:tc>
          <w:tcPr>
            <w:tcW w:type="dxa" w:w="2592"/>
            <w:shd w:val="clear" w:color="auto" w:fill="EBF3FB"/>
          </w:tcPr>
          <w:p>
            <w:pPr>
              <w:spacing w:before="40" w:after="40"/>
              <w:jc w:val="left"/>
            </w:pPr>
            <w:r>
              <w:rPr>
                <w:sz w:val="20"/>
              </w:rPr>
              <w:t>Phase 1: Core Infrastructure</w:t>
            </w:r>
          </w:p>
        </w:tc>
        <w:tc>
          <w:tcPr>
            <w:tcW w:type="dxa" w:w="1152"/>
            <w:shd w:val="clear" w:color="auto" w:fill="EBF3FB"/>
          </w:tcPr>
          <w:p>
            <w:pPr>
              <w:spacing w:before="40" w:after="40"/>
              <w:jc w:val="left"/>
            </w:pPr>
            <w:r>
              <w:rPr>
                <w:sz w:val="20"/>
              </w:rPr>
              <w:t>5-14</w:t>
            </w:r>
          </w:p>
        </w:tc>
        <w:tc>
          <w:tcPr>
            <w:tcW w:type="dxa" w:w="5040"/>
            <w:shd w:val="clear" w:color="auto" w:fill="EBF3FB"/>
          </w:tcPr>
          <w:p>
            <w:pPr>
              <w:spacing w:before="40" w:after="40"/>
              <w:jc w:val="left"/>
            </w:pPr>
            <w:r>
              <w:rPr>
                <w:sz w:val="20"/>
              </w:rPr>
              <w:t>Automated ETL; target agreed; hub skeleton; FluSight format</w:t>
            </w:r>
          </w:p>
        </w:tc>
        <w:tc>
          <w:tcPr>
            <w:tcW w:type="dxa" w:w="2016"/>
            <w:shd w:val="clear" w:color="auto" w:fill="EBF3FB"/>
          </w:tcPr>
          <w:p>
            <w:pPr>
              <w:spacing w:before="40" w:after="40"/>
              <w:jc w:val="left"/>
            </w:pPr>
            <w:r>
              <w:rPr>
                <w:sz w:val="20"/>
              </w:rPr>
              <w:t>Requires Phase 0</w:t>
            </w:r>
          </w:p>
        </w:tc>
      </w:tr>
      <w:tr>
        <w:tc>
          <w:tcPr>
            <w:tcW w:type="dxa" w:w="2592"/>
            <w:shd w:val="clear" w:color="auto" w:fill="FFFFFF"/>
          </w:tcPr>
          <w:p>
            <w:pPr>
              <w:spacing w:before="40" w:after="40"/>
              <w:jc w:val="left"/>
            </w:pPr>
            <w:r>
              <w:rPr>
                <w:sz w:val="20"/>
              </w:rPr>
              <w:t>Phase 2: Model Enhancement</w:t>
            </w:r>
          </w:p>
        </w:tc>
        <w:tc>
          <w:tcPr>
            <w:tcW w:type="dxa" w:w="1152"/>
            <w:shd w:val="clear" w:color="auto" w:fill="FFFFFF"/>
          </w:tcPr>
          <w:p>
            <w:pPr>
              <w:spacing w:before="40" w:after="40"/>
              <w:jc w:val="left"/>
            </w:pPr>
            <w:r>
              <w:rPr>
                <w:sz w:val="20"/>
              </w:rPr>
              <w:t>15-28</w:t>
            </w:r>
          </w:p>
        </w:tc>
        <w:tc>
          <w:tcPr>
            <w:tcW w:type="dxa" w:w="5040"/>
            <w:shd w:val="clear" w:color="auto" w:fill="FFFFFF"/>
          </w:tcPr>
          <w:p>
            <w:pPr>
              <w:spacing w:before="40" w:after="40"/>
              <w:jc w:val="left"/>
            </w:pPr>
            <w:r>
              <w:rPr>
                <w:sz w:val="20"/>
              </w:rPr>
              <w:t>3 diverse models; AWBE; wastewater; LOSO CV</w:t>
            </w:r>
          </w:p>
        </w:tc>
        <w:tc>
          <w:tcPr>
            <w:tcW w:type="dxa" w:w="2016"/>
            <w:shd w:val="clear" w:color="auto" w:fill="FFFFFF"/>
          </w:tcPr>
          <w:p>
            <w:pPr>
              <w:spacing w:before="40" w:after="40"/>
              <w:jc w:val="left"/>
            </w:pPr>
            <w:r>
              <w:rPr>
                <w:sz w:val="20"/>
              </w:rPr>
              <w:t>Requires Phase 1</w:t>
            </w:r>
          </w:p>
        </w:tc>
      </w:tr>
      <w:tr>
        <w:tc>
          <w:tcPr>
            <w:tcW w:type="dxa" w:w="2592"/>
            <w:shd w:val="clear" w:color="auto" w:fill="EBF3FB"/>
          </w:tcPr>
          <w:p>
            <w:pPr>
              <w:spacing w:before="40" w:after="40"/>
              <w:jc w:val="left"/>
            </w:pPr>
            <w:r>
              <w:rPr>
                <w:sz w:val="20"/>
              </w:rPr>
              <w:t>Phase 3: Hub &amp; Distribution</w:t>
            </w:r>
          </w:p>
        </w:tc>
        <w:tc>
          <w:tcPr>
            <w:tcW w:type="dxa" w:w="1152"/>
            <w:shd w:val="clear" w:color="auto" w:fill="EBF3FB"/>
          </w:tcPr>
          <w:p>
            <w:pPr>
              <w:spacing w:before="40" w:after="40"/>
              <w:jc w:val="left"/>
            </w:pPr>
            <w:r>
              <w:rPr>
                <w:sz w:val="20"/>
              </w:rPr>
              <w:t>29-42</w:t>
            </w:r>
          </w:p>
        </w:tc>
        <w:tc>
          <w:tcPr>
            <w:tcW w:type="dxa" w:w="5040"/>
            <w:shd w:val="clear" w:color="auto" w:fill="EBF3FB"/>
          </w:tcPr>
          <w:p>
            <w:pPr>
              <w:spacing w:before="40" w:after="40"/>
              <w:jc w:val="left"/>
            </w:pPr>
            <w:r>
              <w:rPr>
                <w:sz w:val="20"/>
              </w:rPr>
              <w:t>Public API; external contributor; CHP dashboard prototype</w:t>
            </w:r>
          </w:p>
        </w:tc>
        <w:tc>
          <w:tcPr>
            <w:tcW w:type="dxa" w:w="2016"/>
            <w:shd w:val="clear" w:color="auto" w:fill="EBF3FB"/>
          </w:tcPr>
          <w:p>
            <w:pPr>
              <w:spacing w:before="40" w:after="40"/>
              <w:jc w:val="left"/>
            </w:pPr>
            <w:r>
              <w:rPr>
                <w:sz w:val="20"/>
              </w:rPr>
              <w:t>Requires Phase 2</w:t>
            </w:r>
          </w:p>
        </w:tc>
      </w:tr>
      <w:tr>
        <w:tc>
          <w:tcPr>
            <w:tcW w:type="dxa" w:w="2592"/>
            <w:shd w:val="clear" w:color="auto" w:fill="FFFFFF"/>
          </w:tcPr>
          <w:p>
            <w:pPr>
              <w:spacing w:before="40" w:after="40"/>
              <w:jc w:val="left"/>
            </w:pPr>
            <w:r>
              <w:rPr>
                <w:sz w:val="20"/>
              </w:rPr>
              <w:t>Phase 4: Governance</w:t>
            </w:r>
          </w:p>
        </w:tc>
        <w:tc>
          <w:tcPr>
            <w:tcW w:type="dxa" w:w="1152"/>
            <w:shd w:val="clear" w:color="auto" w:fill="FFFFFF"/>
          </w:tcPr>
          <w:p>
            <w:pPr>
              <w:spacing w:before="40" w:after="40"/>
              <w:jc w:val="left"/>
            </w:pPr>
            <w:r>
              <w:rPr>
                <w:sz w:val="20"/>
              </w:rPr>
              <w:t>43+</w:t>
            </w:r>
          </w:p>
        </w:tc>
        <w:tc>
          <w:tcPr>
            <w:tcW w:type="dxa" w:w="5040"/>
            <w:shd w:val="clear" w:color="auto" w:fill="FFFFFF"/>
          </w:tcPr>
          <w:p>
            <w:pPr>
              <w:spacing w:before="40" w:after="40"/>
              <w:jc w:val="left"/>
            </w:pPr>
            <w:r>
              <w:rPr>
                <w:sz w:val="20"/>
              </w:rPr>
              <w:t>CHP MOU; RGC grant; publications; APEC engagement</w:t>
            </w:r>
          </w:p>
        </w:tc>
        <w:tc>
          <w:tcPr>
            <w:tcW w:type="dxa" w:w="2016"/>
            <w:shd w:val="clear" w:color="auto" w:fill="FFFFFF"/>
          </w:tcPr>
          <w:p>
            <w:pPr>
              <w:spacing w:before="40" w:after="40"/>
              <w:jc w:val="left"/>
            </w:pPr>
            <w:r>
              <w:rPr>
                <w:sz w:val="20"/>
              </w:rPr>
              <w:t>Parallel from Phase 3</w:t>
            </w:r>
          </w:p>
        </w:tc>
      </w:tr>
    </w:tbl>
    <w:p/>
    <w:p>
      <w:pPr>
        <w:pStyle w:val="Heading1"/>
        <w:spacing w:before="360" w:after="120"/>
      </w:pPr>
      <w:r>
        <w:rPr>
          <w:b/>
          <w:color w:val="00467F"/>
          <w:sz w:val="32"/>
        </w:rPr>
        <w:t>5. Risk Assessment</w:t>
      </w:r>
    </w:p>
    <w:p>
      <w:pPr>
        <w:spacing w:after="120" w:before="0"/>
      </w:pPr>
      <w:r>
        <w:rPr>
          <w:sz w:val="22"/>
        </w:rPr>
        <w:t>The following risk register covers technical, data, institutional, and project risks. Each risk is rated by likelihood (1-3) and impact (1-3), giving a priority score of 1-9.</w:t>
      </w:r>
    </w:p>
    <w:tbl>
      <w:tblPr>
        <w:tblStyle w:val="TableGrid"/>
        <w:tblW w:type="auto" w:w="0"/>
        <w:jc w:val="left"/>
        <w:tblLook w:firstColumn="1" w:firstRow="1" w:lastColumn="0" w:lastRow="0" w:noHBand="0" w:noVBand="1" w:val="04A0"/>
      </w:tblPr>
      <w:tblGrid>
        <w:gridCol w:w="3168"/>
        <w:gridCol w:w="1584"/>
        <w:gridCol w:w="504"/>
        <w:gridCol w:w="504"/>
        <w:gridCol w:w="864"/>
        <w:gridCol w:w="3456"/>
      </w:tblGrid>
      <w:tr>
        <w:tc>
          <w:tcPr>
            <w:tcW w:type="dxa" w:w="3168"/>
            <w:shd w:val="clear" w:color="auto" w:fill="B71C1C"/>
          </w:tcPr>
          <w:p>
            <w:pPr>
              <w:spacing w:before="60" w:after="60"/>
              <w:jc w:val="left"/>
            </w:pPr>
            <w:r>
              <w:rPr>
                <w:b/>
                <w:color w:val="FFFFFF"/>
                <w:sz w:val="20"/>
              </w:rPr>
              <w:t>Risk</w:t>
            </w:r>
          </w:p>
        </w:tc>
        <w:tc>
          <w:tcPr>
            <w:tcW w:type="dxa" w:w="1584"/>
            <w:shd w:val="clear" w:color="auto" w:fill="B71C1C"/>
          </w:tcPr>
          <w:p>
            <w:pPr>
              <w:spacing w:before="60" w:after="60"/>
              <w:jc w:val="left"/>
            </w:pPr>
            <w:r>
              <w:rPr>
                <w:b/>
                <w:color w:val="FFFFFF"/>
                <w:sz w:val="20"/>
              </w:rPr>
              <w:t>Category</w:t>
            </w:r>
          </w:p>
        </w:tc>
        <w:tc>
          <w:tcPr>
            <w:tcW w:type="dxa" w:w="504"/>
            <w:shd w:val="clear" w:color="auto" w:fill="B71C1C"/>
          </w:tcPr>
          <w:p>
            <w:pPr>
              <w:spacing w:before="60" w:after="60"/>
              <w:jc w:val="left"/>
            </w:pPr>
            <w:r>
              <w:rPr>
                <w:b/>
                <w:color w:val="FFFFFF"/>
                <w:sz w:val="20"/>
              </w:rPr>
              <w:t>L</w:t>
            </w:r>
          </w:p>
        </w:tc>
        <w:tc>
          <w:tcPr>
            <w:tcW w:type="dxa" w:w="504"/>
            <w:shd w:val="clear" w:color="auto" w:fill="B71C1C"/>
          </w:tcPr>
          <w:p>
            <w:pPr>
              <w:spacing w:before="60" w:after="60"/>
              <w:jc w:val="left"/>
            </w:pPr>
            <w:r>
              <w:rPr>
                <w:b/>
                <w:color w:val="FFFFFF"/>
                <w:sz w:val="20"/>
              </w:rPr>
              <w:t>I</w:t>
            </w:r>
          </w:p>
        </w:tc>
        <w:tc>
          <w:tcPr>
            <w:tcW w:type="dxa" w:w="864"/>
            <w:shd w:val="clear" w:color="auto" w:fill="B71C1C"/>
          </w:tcPr>
          <w:p>
            <w:pPr>
              <w:spacing w:before="60" w:after="60"/>
              <w:jc w:val="left"/>
            </w:pPr>
            <w:r>
              <w:rPr>
                <w:b/>
                <w:color w:val="FFFFFF"/>
                <w:sz w:val="20"/>
              </w:rPr>
              <w:t>Score</w:t>
            </w:r>
          </w:p>
        </w:tc>
        <w:tc>
          <w:tcPr>
            <w:tcW w:type="dxa" w:w="3456"/>
            <w:shd w:val="clear" w:color="auto" w:fill="B71C1C"/>
          </w:tcPr>
          <w:p>
            <w:pPr>
              <w:spacing w:before="60" w:after="60"/>
              <w:jc w:val="left"/>
            </w:pPr>
            <w:r>
              <w:rPr>
                <w:b/>
                <w:color w:val="FFFFFF"/>
                <w:sz w:val="20"/>
              </w:rPr>
              <w:t>Mitigation</w:t>
            </w:r>
          </w:p>
        </w:tc>
      </w:tr>
      <w:tr>
        <w:tc>
          <w:tcPr>
            <w:tcW w:type="dxa" w:w="3168"/>
            <w:shd w:val="clear" w:color="auto" w:fill="FFFFFF"/>
          </w:tcPr>
          <w:p>
            <w:pPr>
              <w:spacing w:before="40" w:after="40"/>
              <w:jc w:val="left"/>
            </w:pPr>
            <w:r>
              <w:rPr>
                <w:sz w:val="20"/>
              </w:rPr>
              <w:t>CHP changes PDF format or website structure, breaking ETL pipeline</w:t>
            </w:r>
          </w:p>
        </w:tc>
        <w:tc>
          <w:tcPr>
            <w:tcW w:type="dxa" w:w="1584"/>
            <w:shd w:val="clear" w:color="auto" w:fill="FFFFFF"/>
          </w:tcPr>
          <w:p>
            <w:pPr>
              <w:spacing w:before="40" w:after="40"/>
              <w:jc w:val="left"/>
            </w:pPr>
            <w:r>
              <w:rPr>
                <w:sz w:val="20"/>
              </w:rPr>
              <w:t>Data</w:t>
            </w:r>
          </w:p>
        </w:tc>
        <w:tc>
          <w:tcPr>
            <w:tcW w:type="dxa" w:w="504"/>
            <w:shd w:val="clear" w:color="auto" w:fill="FFFFFF"/>
          </w:tcPr>
          <w:p>
            <w:pPr>
              <w:spacing w:before="40" w:after="40"/>
              <w:jc w:val="left"/>
            </w:pPr>
            <w:r>
              <w:rPr>
                <w:sz w:val="20"/>
              </w:rPr>
              <w:t>2</w:t>
            </w:r>
          </w:p>
        </w:tc>
        <w:tc>
          <w:tcPr>
            <w:tcW w:type="dxa" w:w="504"/>
            <w:shd w:val="clear" w:color="auto" w:fill="FFFFFF"/>
          </w:tcPr>
          <w:p>
            <w:pPr>
              <w:spacing w:before="40" w:after="40"/>
              <w:jc w:val="left"/>
            </w:pPr>
            <w:r>
              <w:rPr>
                <w:sz w:val="20"/>
              </w:rPr>
              <w:t>3</w:t>
            </w:r>
          </w:p>
        </w:tc>
        <w:tc>
          <w:tcPr>
            <w:tcW w:type="dxa" w:w="864"/>
            <w:shd w:val="clear" w:color="auto" w:fill="FFFFFF"/>
          </w:tcPr>
          <w:p>
            <w:pPr>
              <w:spacing w:before="40" w:after="40"/>
              <w:jc w:val="left"/>
            </w:pPr>
            <w:r>
              <w:rPr>
                <w:sz w:val="20"/>
              </w:rPr>
              <w:t>6</w:t>
            </w:r>
          </w:p>
        </w:tc>
        <w:tc>
          <w:tcPr>
            <w:tcW w:type="dxa" w:w="3456"/>
            <w:shd w:val="clear" w:color="auto" w:fill="FFFFFF"/>
          </w:tcPr>
          <w:p>
            <w:pPr>
              <w:spacing w:before="40" w:after="40"/>
              <w:jc w:val="left"/>
            </w:pPr>
            <w:r>
              <w:rPr>
                <w:sz w:val="20"/>
              </w:rPr>
              <w:t>Build ETL with format detection; maintain manual fallback; monitor CHP website; contact CHP for structured data agreement</w:t>
            </w:r>
          </w:p>
        </w:tc>
      </w:tr>
      <w:tr>
        <w:tc>
          <w:tcPr>
            <w:tcW w:type="dxa" w:w="3168"/>
            <w:shd w:val="clear" w:color="auto" w:fill="FFEBEE"/>
          </w:tcPr>
          <w:p>
            <w:pPr>
              <w:spacing w:before="40" w:after="40"/>
              <w:jc w:val="left"/>
            </w:pPr>
            <w:r>
              <w:rPr>
                <w:sz w:val="20"/>
              </w:rPr>
              <w:t>COVID-era imputed data (MAPE 76.3%) biases model training</w:t>
            </w:r>
          </w:p>
        </w:tc>
        <w:tc>
          <w:tcPr>
            <w:tcW w:type="dxa" w:w="1584"/>
            <w:shd w:val="clear" w:color="auto" w:fill="FFEBEE"/>
          </w:tcPr>
          <w:p>
            <w:pPr>
              <w:spacing w:before="40" w:after="40"/>
              <w:jc w:val="left"/>
            </w:pPr>
            <w:r>
              <w:rPr>
                <w:sz w:val="20"/>
              </w:rPr>
              <w:t>Technical</w:t>
            </w:r>
          </w:p>
        </w:tc>
        <w:tc>
          <w:tcPr>
            <w:tcW w:type="dxa" w:w="504"/>
            <w:shd w:val="clear" w:color="auto" w:fill="FFEBEE"/>
          </w:tcPr>
          <w:p>
            <w:pPr>
              <w:spacing w:before="40" w:after="40"/>
              <w:jc w:val="left"/>
            </w:pPr>
            <w:r>
              <w:rPr>
                <w:sz w:val="20"/>
              </w:rPr>
              <w:t>3</w:t>
            </w:r>
          </w:p>
        </w:tc>
        <w:tc>
          <w:tcPr>
            <w:tcW w:type="dxa" w:w="504"/>
            <w:shd w:val="clear" w:color="auto" w:fill="FFEBEE"/>
          </w:tcPr>
          <w:p>
            <w:pPr>
              <w:spacing w:before="40" w:after="40"/>
              <w:jc w:val="left"/>
            </w:pPr>
            <w:r>
              <w:rPr>
                <w:sz w:val="20"/>
              </w:rPr>
              <w:t>2</w:t>
            </w:r>
          </w:p>
        </w:tc>
        <w:tc>
          <w:tcPr>
            <w:tcW w:type="dxa" w:w="864"/>
            <w:shd w:val="clear" w:color="auto" w:fill="FFEBEE"/>
          </w:tcPr>
          <w:p>
            <w:pPr>
              <w:spacing w:before="40" w:after="40"/>
              <w:jc w:val="left"/>
            </w:pPr>
            <w:r>
              <w:rPr>
                <w:sz w:val="20"/>
              </w:rPr>
              <w:t>6</w:t>
            </w:r>
          </w:p>
        </w:tc>
        <w:tc>
          <w:tcPr>
            <w:tcW w:type="dxa" w:w="3456"/>
            <w:shd w:val="clear" w:color="auto" w:fill="FFEBEE"/>
          </w:tcPr>
          <w:p>
            <w:pPr>
              <w:spacing w:before="40" w:after="40"/>
              <w:jc w:val="left"/>
            </w:pPr>
            <w:r>
              <w:rPr>
                <w:sz w:val="20"/>
              </w:rPr>
              <w:t>Run all models with and without imputed period; weight post-COVID data more heavily in AWBE; flag imputed weeks in all outputs</w:t>
            </w:r>
          </w:p>
        </w:tc>
      </w:tr>
      <w:tr>
        <w:tc>
          <w:tcPr>
            <w:tcW w:type="dxa" w:w="3168"/>
            <w:shd w:val="clear" w:color="auto" w:fill="FFFFFF"/>
          </w:tcPr>
          <w:p>
            <w:pPr>
              <w:spacing w:before="40" w:after="40"/>
              <w:jc w:val="left"/>
            </w:pPr>
            <w:r>
              <w:rPr>
                <w:sz w:val="20"/>
              </w:rPr>
              <w:t>Bimodal seasonality not adequately captured by SARIMA(1,0,1)(1,1,0)[52]</w:t>
            </w:r>
          </w:p>
        </w:tc>
        <w:tc>
          <w:tcPr>
            <w:tcW w:type="dxa" w:w="1584"/>
            <w:shd w:val="clear" w:color="auto" w:fill="FFFFFF"/>
          </w:tcPr>
          <w:p>
            <w:pPr>
              <w:spacing w:before="40" w:after="40"/>
              <w:jc w:val="left"/>
            </w:pPr>
            <w:r>
              <w:rPr>
                <w:sz w:val="20"/>
              </w:rPr>
              <w:t>Technical</w:t>
            </w:r>
          </w:p>
        </w:tc>
        <w:tc>
          <w:tcPr>
            <w:tcW w:type="dxa" w:w="504"/>
            <w:shd w:val="clear" w:color="auto" w:fill="FFFFFF"/>
          </w:tcPr>
          <w:p>
            <w:pPr>
              <w:spacing w:before="40" w:after="40"/>
              <w:jc w:val="left"/>
            </w:pPr>
            <w:r>
              <w:rPr>
                <w:sz w:val="20"/>
              </w:rPr>
              <w:t>3</w:t>
            </w:r>
          </w:p>
        </w:tc>
        <w:tc>
          <w:tcPr>
            <w:tcW w:type="dxa" w:w="504"/>
            <w:shd w:val="clear" w:color="auto" w:fill="FFFFFF"/>
          </w:tcPr>
          <w:p>
            <w:pPr>
              <w:spacing w:before="40" w:after="40"/>
              <w:jc w:val="left"/>
            </w:pPr>
            <w:r>
              <w:rPr>
                <w:sz w:val="20"/>
              </w:rPr>
              <w:t>2</w:t>
            </w:r>
          </w:p>
        </w:tc>
        <w:tc>
          <w:tcPr>
            <w:tcW w:type="dxa" w:w="864"/>
            <w:shd w:val="clear" w:color="auto" w:fill="FFFFFF"/>
          </w:tcPr>
          <w:p>
            <w:pPr>
              <w:spacing w:before="40" w:after="40"/>
              <w:jc w:val="left"/>
            </w:pPr>
            <w:r>
              <w:rPr>
                <w:sz w:val="20"/>
              </w:rPr>
              <w:t>6</w:t>
            </w:r>
          </w:p>
        </w:tc>
        <w:tc>
          <w:tcPr>
            <w:tcW w:type="dxa" w:w="3456"/>
            <w:shd w:val="clear" w:color="auto" w:fill="FFFFFF"/>
          </w:tcPr>
          <w:p>
            <w:pPr>
              <w:spacing w:before="40" w:after="40"/>
              <w:jc w:val="left"/>
            </w:pPr>
            <w:r>
              <w:rPr>
                <w:sz w:val="20"/>
              </w:rPr>
              <w:t>Test SARIMA variants with S=26; evaluate two-regime models; ETS(A,A,A) partially compensates; monitor wave-stratified WIS</w:t>
            </w:r>
          </w:p>
        </w:tc>
      </w:tr>
      <w:tr>
        <w:tc>
          <w:tcPr>
            <w:tcW w:type="dxa" w:w="3168"/>
            <w:shd w:val="clear" w:color="auto" w:fill="FFEBEE"/>
          </w:tcPr>
          <w:p>
            <w:pPr>
              <w:spacing w:before="40" w:after="40"/>
              <w:jc w:val="left"/>
            </w:pPr>
            <w:r>
              <w:rPr>
                <w:sz w:val="20"/>
              </w:rPr>
              <w:t>Target variable definition stalls due to CHP/academic disagreement</w:t>
            </w:r>
          </w:p>
        </w:tc>
        <w:tc>
          <w:tcPr>
            <w:tcW w:type="dxa" w:w="1584"/>
            <w:shd w:val="clear" w:color="auto" w:fill="FFEBEE"/>
          </w:tcPr>
          <w:p>
            <w:pPr>
              <w:spacing w:before="40" w:after="40"/>
              <w:jc w:val="left"/>
            </w:pPr>
            <w:r>
              <w:rPr>
                <w:sz w:val="20"/>
              </w:rPr>
              <w:t>Institutional</w:t>
            </w:r>
          </w:p>
        </w:tc>
        <w:tc>
          <w:tcPr>
            <w:tcW w:type="dxa" w:w="504"/>
            <w:shd w:val="clear" w:color="auto" w:fill="FFEBEE"/>
          </w:tcPr>
          <w:p>
            <w:pPr>
              <w:spacing w:before="40" w:after="40"/>
              <w:jc w:val="left"/>
            </w:pPr>
            <w:r>
              <w:rPr>
                <w:sz w:val="20"/>
              </w:rPr>
              <w:t>2</w:t>
            </w:r>
          </w:p>
        </w:tc>
        <w:tc>
          <w:tcPr>
            <w:tcW w:type="dxa" w:w="504"/>
            <w:shd w:val="clear" w:color="auto" w:fill="FFEBEE"/>
          </w:tcPr>
          <w:p>
            <w:pPr>
              <w:spacing w:before="40" w:after="40"/>
              <w:jc w:val="left"/>
            </w:pPr>
            <w:r>
              <w:rPr>
                <w:sz w:val="20"/>
              </w:rPr>
              <w:t>3</w:t>
            </w:r>
          </w:p>
        </w:tc>
        <w:tc>
          <w:tcPr>
            <w:tcW w:type="dxa" w:w="864"/>
            <w:shd w:val="clear" w:color="auto" w:fill="FFEBEE"/>
          </w:tcPr>
          <w:p>
            <w:pPr>
              <w:spacing w:before="40" w:after="40"/>
              <w:jc w:val="left"/>
            </w:pPr>
            <w:r>
              <w:rPr>
                <w:sz w:val="20"/>
              </w:rPr>
              <w:t>6</w:t>
            </w:r>
          </w:p>
        </w:tc>
        <w:tc>
          <w:tcPr>
            <w:tcW w:type="dxa" w:w="3456"/>
            <w:shd w:val="clear" w:color="auto" w:fill="FFEBEE"/>
          </w:tcPr>
          <w:p>
            <w:pPr>
              <w:spacing w:before="40" w:after="40"/>
              <w:jc w:val="left"/>
            </w:pPr>
            <w:r>
              <w:rPr>
                <w:sz w:val="20"/>
              </w:rPr>
              <w:t>Prepare 3 candidate targets with data availability analysis; schedule workshop in Phase 1 week 1; identify decision-maker</w:t>
            </w:r>
          </w:p>
        </w:tc>
      </w:tr>
      <w:tr>
        <w:tc>
          <w:tcPr>
            <w:tcW w:type="dxa" w:w="3168"/>
            <w:shd w:val="clear" w:color="auto" w:fill="FFFFFF"/>
          </w:tcPr>
          <w:p>
            <w:pPr>
              <w:spacing w:before="40" w:after="40"/>
              <w:jc w:val="left"/>
            </w:pPr>
            <w:r>
              <w:rPr>
                <w:sz w:val="20"/>
              </w:rPr>
              <w:t>Wastewater data access not secured or lag structure unclear</w:t>
            </w:r>
          </w:p>
        </w:tc>
        <w:tc>
          <w:tcPr>
            <w:tcW w:type="dxa" w:w="1584"/>
            <w:shd w:val="clear" w:color="auto" w:fill="FFFFFF"/>
          </w:tcPr>
          <w:p>
            <w:pPr>
              <w:spacing w:before="40" w:after="40"/>
              <w:jc w:val="left"/>
            </w:pPr>
            <w:r>
              <w:rPr>
                <w:sz w:val="20"/>
              </w:rPr>
              <w:t>Data</w:t>
            </w:r>
          </w:p>
        </w:tc>
        <w:tc>
          <w:tcPr>
            <w:tcW w:type="dxa" w:w="504"/>
            <w:shd w:val="clear" w:color="auto" w:fill="FFFFFF"/>
          </w:tcPr>
          <w:p>
            <w:pPr>
              <w:spacing w:before="40" w:after="40"/>
              <w:jc w:val="left"/>
            </w:pPr>
            <w:r>
              <w:rPr>
                <w:sz w:val="20"/>
              </w:rPr>
              <w:t>2</w:t>
            </w:r>
          </w:p>
        </w:tc>
        <w:tc>
          <w:tcPr>
            <w:tcW w:type="dxa" w:w="504"/>
            <w:shd w:val="clear" w:color="auto" w:fill="FFFFFF"/>
          </w:tcPr>
          <w:p>
            <w:pPr>
              <w:spacing w:before="40" w:after="40"/>
              <w:jc w:val="left"/>
            </w:pPr>
            <w:r>
              <w:rPr>
                <w:sz w:val="20"/>
              </w:rPr>
              <w:t>2</w:t>
            </w:r>
          </w:p>
        </w:tc>
        <w:tc>
          <w:tcPr>
            <w:tcW w:type="dxa" w:w="864"/>
            <w:shd w:val="clear" w:color="auto" w:fill="FFFFFF"/>
          </w:tcPr>
          <w:p>
            <w:pPr>
              <w:spacing w:before="40" w:after="40"/>
              <w:jc w:val="left"/>
            </w:pPr>
            <w:r>
              <w:rPr>
                <w:sz w:val="20"/>
              </w:rPr>
              <w:t>4</w:t>
            </w:r>
          </w:p>
        </w:tc>
        <w:tc>
          <w:tcPr>
            <w:tcW w:type="dxa" w:w="3456"/>
            <w:shd w:val="clear" w:color="auto" w:fill="FFFFFF"/>
          </w:tcPr>
          <w:p>
            <w:pPr>
              <w:spacing w:before="40" w:after="40"/>
              <w:jc w:val="left"/>
            </w:pPr>
            <w:r>
              <w:rPr>
                <w:sz w:val="20"/>
              </w:rPr>
              <w:t>Begin data-sharing discussions immediately; design model to work without wastewater as optional feature; plan lag sensitivity analysis</w:t>
            </w:r>
          </w:p>
        </w:tc>
      </w:tr>
      <w:tr>
        <w:tc>
          <w:tcPr>
            <w:tcW w:type="dxa" w:w="3168"/>
            <w:shd w:val="clear" w:color="auto" w:fill="FFEBEE"/>
          </w:tcPr>
          <w:p>
            <w:pPr>
              <w:spacing w:before="40" w:after="40"/>
              <w:jc w:val="left"/>
            </w:pPr>
            <w:r>
              <w:rPr>
                <w:sz w:val="20"/>
              </w:rPr>
              <w:t>No external model contributors join by Phase 3</w:t>
            </w:r>
          </w:p>
        </w:tc>
        <w:tc>
          <w:tcPr>
            <w:tcW w:type="dxa" w:w="1584"/>
            <w:shd w:val="clear" w:color="auto" w:fill="FFEBEE"/>
          </w:tcPr>
          <w:p>
            <w:pPr>
              <w:spacing w:before="40" w:after="40"/>
              <w:jc w:val="left"/>
            </w:pPr>
            <w:r>
              <w:rPr>
                <w:sz w:val="20"/>
              </w:rPr>
              <w:t>Institutional</w:t>
            </w:r>
          </w:p>
        </w:tc>
        <w:tc>
          <w:tcPr>
            <w:tcW w:type="dxa" w:w="504"/>
            <w:shd w:val="clear" w:color="auto" w:fill="FFEBEE"/>
          </w:tcPr>
          <w:p>
            <w:pPr>
              <w:spacing w:before="40" w:after="40"/>
              <w:jc w:val="left"/>
            </w:pPr>
            <w:r>
              <w:rPr>
                <w:sz w:val="20"/>
              </w:rPr>
              <w:t>2</w:t>
            </w:r>
          </w:p>
        </w:tc>
        <w:tc>
          <w:tcPr>
            <w:tcW w:type="dxa" w:w="504"/>
            <w:shd w:val="clear" w:color="auto" w:fill="FFEBEE"/>
          </w:tcPr>
          <w:p>
            <w:pPr>
              <w:spacing w:before="40" w:after="40"/>
              <w:jc w:val="left"/>
            </w:pPr>
            <w:r>
              <w:rPr>
                <w:sz w:val="20"/>
              </w:rPr>
              <w:t>2</w:t>
            </w:r>
          </w:p>
        </w:tc>
        <w:tc>
          <w:tcPr>
            <w:tcW w:type="dxa" w:w="864"/>
            <w:shd w:val="clear" w:color="auto" w:fill="FFEBEE"/>
          </w:tcPr>
          <w:p>
            <w:pPr>
              <w:spacing w:before="40" w:after="40"/>
              <w:jc w:val="left"/>
            </w:pPr>
            <w:r>
              <w:rPr>
                <w:sz w:val="20"/>
              </w:rPr>
              <w:t>4</w:t>
            </w:r>
          </w:p>
        </w:tc>
        <w:tc>
          <w:tcPr>
            <w:tcW w:type="dxa" w:w="3456"/>
            <w:shd w:val="clear" w:color="auto" w:fill="FFEBEE"/>
          </w:tcPr>
          <w:p>
            <w:pPr>
              <w:spacing w:before="40" w:after="40"/>
              <w:jc w:val="left"/>
            </w:pPr>
            <w:r>
              <w:rPr>
                <w:sz w:val="20"/>
              </w:rPr>
              <w:t>Identify 2-3 potential contributors early (HKU, CUHK, PolyU); offer co-authorship incentive; build easy onboarding</w:t>
            </w:r>
          </w:p>
        </w:tc>
      </w:tr>
      <w:tr>
        <w:tc>
          <w:tcPr>
            <w:tcW w:type="dxa" w:w="3168"/>
            <w:shd w:val="clear" w:color="auto" w:fill="FFFFFF"/>
          </w:tcPr>
          <w:p>
            <w:pPr>
              <w:spacing w:before="40" w:after="40"/>
              <w:jc w:val="left"/>
            </w:pPr>
            <w:r>
              <w:rPr>
                <w:sz w:val="20"/>
              </w:rPr>
              <w:t>Equal-weight ensemble performs better than AWBE (weight instability with few models)</w:t>
            </w:r>
          </w:p>
        </w:tc>
        <w:tc>
          <w:tcPr>
            <w:tcW w:type="dxa" w:w="1584"/>
            <w:shd w:val="clear" w:color="auto" w:fill="FFFFFF"/>
          </w:tcPr>
          <w:p>
            <w:pPr>
              <w:spacing w:before="40" w:after="40"/>
              <w:jc w:val="left"/>
            </w:pPr>
            <w:r>
              <w:rPr>
                <w:sz w:val="20"/>
              </w:rPr>
              <w:t>Technical</w:t>
            </w:r>
          </w:p>
        </w:tc>
        <w:tc>
          <w:tcPr>
            <w:tcW w:type="dxa" w:w="504"/>
            <w:shd w:val="clear" w:color="auto" w:fill="FFFFFF"/>
          </w:tcPr>
          <w:p>
            <w:pPr>
              <w:spacing w:before="40" w:after="40"/>
              <w:jc w:val="left"/>
            </w:pPr>
            <w:r>
              <w:rPr>
                <w:sz w:val="20"/>
              </w:rPr>
              <w:t>2</w:t>
            </w:r>
          </w:p>
        </w:tc>
        <w:tc>
          <w:tcPr>
            <w:tcW w:type="dxa" w:w="504"/>
            <w:shd w:val="clear" w:color="auto" w:fill="FFFFFF"/>
          </w:tcPr>
          <w:p>
            <w:pPr>
              <w:spacing w:before="40" w:after="40"/>
              <w:jc w:val="left"/>
            </w:pPr>
            <w:r>
              <w:rPr>
                <w:sz w:val="20"/>
              </w:rPr>
              <w:t>2</w:t>
            </w:r>
          </w:p>
        </w:tc>
        <w:tc>
          <w:tcPr>
            <w:tcW w:type="dxa" w:w="864"/>
            <w:shd w:val="clear" w:color="auto" w:fill="FFFFFF"/>
          </w:tcPr>
          <w:p>
            <w:pPr>
              <w:spacing w:before="40" w:after="40"/>
              <w:jc w:val="left"/>
            </w:pPr>
            <w:r>
              <w:rPr>
                <w:sz w:val="20"/>
              </w:rPr>
              <w:t>4</w:t>
            </w:r>
          </w:p>
        </w:tc>
        <w:tc>
          <w:tcPr>
            <w:tcW w:type="dxa" w:w="3456"/>
            <w:shd w:val="clear" w:color="auto" w:fill="FFFFFF"/>
          </w:tcPr>
          <w:p>
            <w:pPr>
              <w:spacing w:before="40" w:after="40"/>
              <w:jc w:val="left"/>
            </w:pPr>
            <w:r>
              <w:rPr>
                <w:sz w:val="20"/>
              </w:rPr>
              <w:t>Keep equal-weight ensemble as production fallback; AWBE requires minimum history; use regularised weight solver</w:t>
            </w:r>
          </w:p>
        </w:tc>
      </w:tr>
      <w:tr>
        <w:tc>
          <w:tcPr>
            <w:tcW w:type="dxa" w:w="3168"/>
            <w:shd w:val="clear" w:color="auto" w:fill="FFEBEE"/>
          </w:tcPr>
          <w:p>
            <w:pPr>
              <w:spacing w:before="40" w:after="40"/>
              <w:jc w:val="left"/>
            </w:pPr>
            <w:r>
              <w:rPr>
                <w:sz w:val="20"/>
              </w:rPr>
              <w:t>Funding not secured; project depends on single researcher</w:t>
            </w:r>
          </w:p>
        </w:tc>
        <w:tc>
          <w:tcPr>
            <w:tcW w:type="dxa" w:w="1584"/>
            <w:shd w:val="clear" w:color="auto" w:fill="FFEBEE"/>
          </w:tcPr>
          <w:p>
            <w:pPr>
              <w:spacing w:before="40" w:after="40"/>
              <w:jc w:val="left"/>
            </w:pPr>
            <w:r>
              <w:rPr>
                <w:sz w:val="20"/>
              </w:rPr>
              <w:t>Project</w:t>
            </w:r>
          </w:p>
        </w:tc>
        <w:tc>
          <w:tcPr>
            <w:tcW w:type="dxa" w:w="504"/>
            <w:shd w:val="clear" w:color="auto" w:fill="FFEBEE"/>
          </w:tcPr>
          <w:p>
            <w:pPr>
              <w:spacing w:before="40" w:after="40"/>
              <w:jc w:val="left"/>
            </w:pPr>
            <w:r>
              <w:rPr>
                <w:sz w:val="20"/>
              </w:rPr>
              <w:t>2</w:t>
            </w:r>
          </w:p>
        </w:tc>
        <w:tc>
          <w:tcPr>
            <w:tcW w:type="dxa" w:w="504"/>
            <w:shd w:val="clear" w:color="auto" w:fill="FFEBEE"/>
          </w:tcPr>
          <w:p>
            <w:pPr>
              <w:spacing w:before="40" w:after="40"/>
              <w:jc w:val="left"/>
            </w:pPr>
            <w:r>
              <w:rPr>
                <w:sz w:val="20"/>
              </w:rPr>
              <w:t>3</w:t>
            </w:r>
          </w:p>
        </w:tc>
        <w:tc>
          <w:tcPr>
            <w:tcW w:type="dxa" w:w="864"/>
            <w:shd w:val="clear" w:color="auto" w:fill="FFEBEE"/>
          </w:tcPr>
          <w:p>
            <w:pPr>
              <w:spacing w:before="40" w:after="40"/>
              <w:jc w:val="left"/>
            </w:pPr>
            <w:r>
              <w:rPr>
                <w:sz w:val="20"/>
              </w:rPr>
              <w:t>6</w:t>
            </w:r>
          </w:p>
        </w:tc>
        <w:tc>
          <w:tcPr>
            <w:tcW w:type="dxa" w:w="3456"/>
            <w:shd w:val="clear" w:color="auto" w:fill="FFEBEE"/>
          </w:tcPr>
          <w:p>
            <w:pPr>
              <w:spacing w:before="40" w:after="40"/>
              <w:jc w:val="left"/>
            </w:pPr>
            <w:r>
              <w:rPr>
                <w:sz w:val="20"/>
              </w:rPr>
              <w:t>Submit RGC/ITF application in Phase 3; seek HKU startup funding; modular design enables partial delivery at each phase</w:t>
            </w:r>
          </w:p>
        </w:tc>
      </w:tr>
      <w:tr>
        <w:tc>
          <w:tcPr>
            <w:tcW w:type="dxa" w:w="3168"/>
            <w:shd w:val="clear" w:color="auto" w:fill="FFFFFF"/>
          </w:tcPr>
          <w:p>
            <w:pPr>
              <w:spacing w:before="40" w:after="40"/>
              <w:jc w:val="left"/>
            </w:pPr>
            <w:r>
              <w:rPr>
                <w:sz w:val="20"/>
              </w:rPr>
              <w:t>WIS scores are dominated by PI width (wide intervals game the metric)</w:t>
            </w:r>
          </w:p>
        </w:tc>
        <w:tc>
          <w:tcPr>
            <w:tcW w:type="dxa" w:w="1584"/>
            <w:shd w:val="clear" w:color="auto" w:fill="FFFFFF"/>
          </w:tcPr>
          <w:p>
            <w:pPr>
              <w:spacing w:before="40" w:after="40"/>
              <w:jc w:val="left"/>
            </w:pPr>
            <w:r>
              <w:rPr>
                <w:sz w:val="20"/>
              </w:rPr>
              <w:t>Technical</w:t>
            </w:r>
          </w:p>
        </w:tc>
        <w:tc>
          <w:tcPr>
            <w:tcW w:type="dxa" w:w="504"/>
            <w:shd w:val="clear" w:color="auto" w:fill="FFFFFF"/>
          </w:tcPr>
          <w:p>
            <w:pPr>
              <w:spacing w:before="40" w:after="40"/>
              <w:jc w:val="left"/>
            </w:pPr>
            <w:r>
              <w:rPr>
                <w:sz w:val="20"/>
              </w:rPr>
              <w:t>2</w:t>
            </w:r>
          </w:p>
        </w:tc>
        <w:tc>
          <w:tcPr>
            <w:tcW w:type="dxa" w:w="504"/>
            <w:shd w:val="clear" w:color="auto" w:fill="FFFFFF"/>
          </w:tcPr>
          <w:p>
            <w:pPr>
              <w:spacing w:before="40" w:after="40"/>
              <w:jc w:val="left"/>
            </w:pPr>
            <w:r>
              <w:rPr>
                <w:sz w:val="20"/>
              </w:rPr>
              <w:t>2</w:t>
            </w:r>
          </w:p>
        </w:tc>
        <w:tc>
          <w:tcPr>
            <w:tcW w:type="dxa" w:w="864"/>
            <w:shd w:val="clear" w:color="auto" w:fill="FFFFFF"/>
          </w:tcPr>
          <w:p>
            <w:pPr>
              <w:spacing w:before="40" w:after="40"/>
              <w:jc w:val="left"/>
            </w:pPr>
            <w:r>
              <w:rPr>
                <w:sz w:val="20"/>
              </w:rPr>
              <w:t>4</w:t>
            </w:r>
          </w:p>
        </w:tc>
        <w:tc>
          <w:tcPr>
            <w:tcW w:type="dxa" w:w="3456"/>
            <w:shd w:val="clear" w:color="auto" w:fill="FFFFFF"/>
          </w:tcPr>
          <w:p>
            <w:pPr>
              <w:spacing w:before="40" w:after="40"/>
              <w:jc w:val="left"/>
            </w:pPr>
            <w:r>
              <w:rPr>
                <w:sz w:val="20"/>
              </w:rPr>
              <w:t>Track sharpness separately; require calibration check (empirical coverage at each quantile level); penalise systematically over-wide intervals</w:t>
            </w:r>
          </w:p>
        </w:tc>
      </w:tr>
      <w:tr>
        <w:tc>
          <w:tcPr>
            <w:tcW w:type="dxa" w:w="3168"/>
            <w:shd w:val="clear" w:color="auto" w:fill="FFEBEE"/>
          </w:tcPr>
          <w:p>
            <w:pPr>
              <w:spacing w:before="40" w:after="40"/>
              <w:jc w:val="left"/>
            </w:pPr>
            <w:r>
              <w:rPr>
                <w:sz w:val="20"/>
              </w:rPr>
              <w:t>Structural break from post-COVID behaviour change (baseline shift)</w:t>
            </w:r>
          </w:p>
        </w:tc>
        <w:tc>
          <w:tcPr>
            <w:tcW w:type="dxa" w:w="1584"/>
            <w:shd w:val="clear" w:color="auto" w:fill="FFEBEE"/>
          </w:tcPr>
          <w:p>
            <w:pPr>
              <w:spacing w:before="40" w:after="40"/>
              <w:jc w:val="left"/>
            </w:pPr>
            <w:r>
              <w:rPr>
                <w:sz w:val="20"/>
              </w:rPr>
              <w:t>Epidemiological</w:t>
            </w:r>
          </w:p>
        </w:tc>
        <w:tc>
          <w:tcPr>
            <w:tcW w:type="dxa" w:w="504"/>
            <w:shd w:val="clear" w:color="auto" w:fill="FFEBEE"/>
          </w:tcPr>
          <w:p>
            <w:pPr>
              <w:spacing w:before="40" w:after="40"/>
              <w:jc w:val="left"/>
            </w:pPr>
            <w:r>
              <w:rPr>
                <w:sz w:val="20"/>
              </w:rPr>
              <w:t>2</w:t>
            </w:r>
          </w:p>
        </w:tc>
        <w:tc>
          <w:tcPr>
            <w:tcW w:type="dxa" w:w="504"/>
            <w:shd w:val="clear" w:color="auto" w:fill="FFEBEE"/>
          </w:tcPr>
          <w:p>
            <w:pPr>
              <w:spacing w:before="40" w:after="40"/>
              <w:jc w:val="left"/>
            </w:pPr>
            <w:r>
              <w:rPr>
                <w:sz w:val="20"/>
              </w:rPr>
              <w:t>2</w:t>
            </w:r>
          </w:p>
        </w:tc>
        <w:tc>
          <w:tcPr>
            <w:tcW w:type="dxa" w:w="864"/>
            <w:shd w:val="clear" w:color="auto" w:fill="FFEBEE"/>
          </w:tcPr>
          <w:p>
            <w:pPr>
              <w:spacing w:before="40" w:after="40"/>
              <w:jc w:val="left"/>
            </w:pPr>
            <w:r>
              <w:rPr>
                <w:sz w:val="20"/>
              </w:rPr>
              <w:t>4</w:t>
            </w:r>
          </w:p>
        </w:tc>
        <w:tc>
          <w:tcPr>
            <w:tcW w:type="dxa" w:w="3456"/>
            <w:shd w:val="clear" w:color="auto" w:fill="FFEBEE"/>
          </w:tcPr>
          <w:p>
            <w:pPr>
              <w:spacing w:before="40" w:after="40"/>
              <w:jc w:val="left"/>
            </w:pPr>
            <w:r>
              <w:rPr>
                <w:sz w:val="20"/>
              </w:rPr>
              <w:t>COVID suppression flags already in dataset; train SARIMA primarily on post-COVID data (2022+); monitor for level shift annually</w:t>
            </w:r>
          </w:p>
        </w:tc>
      </w:tr>
      <w:tr>
        <w:tc>
          <w:tcPr>
            <w:tcW w:type="dxa" w:w="3168"/>
            <w:shd w:val="clear" w:color="auto" w:fill="FFFFFF"/>
          </w:tcPr>
          <w:p>
            <w:pPr>
              <w:spacing w:before="40" w:after="40"/>
              <w:jc w:val="left"/>
            </w:pPr>
            <w:r>
              <w:rPr>
                <w:sz w:val="20"/>
              </w:rPr>
              <w:t>HKO actual weather data not available in machine-readable form</w:t>
            </w:r>
          </w:p>
        </w:tc>
        <w:tc>
          <w:tcPr>
            <w:tcW w:type="dxa" w:w="1584"/>
            <w:shd w:val="clear" w:color="auto" w:fill="FFFFFF"/>
          </w:tcPr>
          <w:p>
            <w:pPr>
              <w:spacing w:before="40" w:after="40"/>
              <w:jc w:val="left"/>
            </w:pPr>
            <w:r>
              <w:rPr>
                <w:sz w:val="20"/>
              </w:rPr>
              <w:t>Data</w:t>
            </w:r>
          </w:p>
        </w:tc>
        <w:tc>
          <w:tcPr>
            <w:tcW w:type="dxa" w:w="504"/>
            <w:shd w:val="clear" w:color="auto" w:fill="FFFFFF"/>
          </w:tcPr>
          <w:p>
            <w:pPr>
              <w:spacing w:before="40" w:after="40"/>
              <w:jc w:val="left"/>
            </w:pPr>
            <w:r>
              <w:rPr>
                <w:sz w:val="20"/>
              </w:rPr>
              <w:t>1</w:t>
            </w:r>
          </w:p>
        </w:tc>
        <w:tc>
          <w:tcPr>
            <w:tcW w:type="dxa" w:w="504"/>
            <w:shd w:val="clear" w:color="auto" w:fill="FFFFFF"/>
          </w:tcPr>
          <w:p>
            <w:pPr>
              <w:spacing w:before="40" w:after="40"/>
              <w:jc w:val="left"/>
            </w:pPr>
            <w:r>
              <w:rPr>
                <w:sz w:val="20"/>
              </w:rPr>
              <w:t>2</w:t>
            </w:r>
          </w:p>
        </w:tc>
        <w:tc>
          <w:tcPr>
            <w:tcW w:type="dxa" w:w="864"/>
            <w:shd w:val="clear" w:color="auto" w:fill="FFFFFF"/>
          </w:tcPr>
          <w:p>
            <w:pPr>
              <w:spacing w:before="40" w:after="40"/>
              <w:jc w:val="left"/>
            </w:pPr>
            <w:r>
              <w:rPr>
                <w:sz w:val="20"/>
              </w:rPr>
              <w:t>2</w:t>
            </w:r>
          </w:p>
        </w:tc>
        <w:tc>
          <w:tcPr>
            <w:tcW w:type="dxa" w:w="3456"/>
            <w:shd w:val="clear" w:color="auto" w:fill="FFFFFF"/>
          </w:tcPr>
          <w:p>
            <w:pPr>
              <w:spacing w:before="40" w:after="40"/>
              <w:jc w:val="left"/>
            </w:pPr>
            <w:r>
              <w:rPr>
                <w:sz w:val="20"/>
              </w:rPr>
              <w:t>HKO provides open data portal; climatological normals are fallback; assess actual data quality before committing to regressors</w:t>
            </w:r>
          </w:p>
        </w:tc>
      </w:tr>
      <w:tr>
        <w:tc>
          <w:tcPr>
            <w:tcW w:type="dxa" w:w="3168"/>
            <w:shd w:val="clear" w:color="auto" w:fill="FFEBEE"/>
          </w:tcPr>
          <w:p>
            <w:pPr>
              <w:spacing w:before="40" w:after="40"/>
              <w:jc w:val="left"/>
            </w:pPr>
            <w:r>
              <w:rPr>
                <w:sz w:val="20"/>
              </w:rPr>
              <w:t>Model-ready data format changes break downstream scripts</w:t>
            </w:r>
          </w:p>
        </w:tc>
        <w:tc>
          <w:tcPr>
            <w:tcW w:type="dxa" w:w="1584"/>
            <w:shd w:val="clear" w:color="auto" w:fill="FFEBEE"/>
          </w:tcPr>
          <w:p>
            <w:pPr>
              <w:spacing w:before="40" w:after="40"/>
              <w:jc w:val="left"/>
            </w:pPr>
            <w:r>
              <w:rPr>
                <w:sz w:val="20"/>
              </w:rPr>
              <w:t>Technical</w:t>
            </w:r>
          </w:p>
        </w:tc>
        <w:tc>
          <w:tcPr>
            <w:tcW w:type="dxa" w:w="504"/>
            <w:shd w:val="clear" w:color="auto" w:fill="FFEBEE"/>
          </w:tcPr>
          <w:p>
            <w:pPr>
              <w:spacing w:before="40" w:after="40"/>
              <w:jc w:val="left"/>
            </w:pPr>
            <w:r>
              <w:rPr>
                <w:sz w:val="20"/>
              </w:rPr>
              <w:t>2</w:t>
            </w:r>
          </w:p>
        </w:tc>
        <w:tc>
          <w:tcPr>
            <w:tcW w:type="dxa" w:w="504"/>
            <w:shd w:val="clear" w:color="auto" w:fill="FFEBEE"/>
          </w:tcPr>
          <w:p>
            <w:pPr>
              <w:spacing w:before="40" w:after="40"/>
              <w:jc w:val="left"/>
            </w:pPr>
            <w:r>
              <w:rPr>
                <w:sz w:val="20"/>
              </w:rPr>
              <w:t>2</w:t>
            </w:r>
          </w:p>
        </w:tc>
        <w:tc>
          <w:tcPr>
            <w:tcW w:type="dxa" w:w="864"/>
            <w:shd w:val="clear" w:color="auto" w:fill="FFEBEE"/>
          </w:tcPr>
          <w:p>
            <w:pPr>
              <w:spacing w:before="40" w:after="40"/>
              <w:jc w:val="left"/>
            </w:pPr>
            <w:r>
              <w:rPr>
                <w:sz w:val="20"/>
              </w:rPr>
              <w:t>4</w:t>
            </w:r>
          </w:p>
        </w:tc>
        <w:tc>
          <w:tcPr>
            <w:tcW w:type="dxa" w:w="3456"/>
            <w:shd w:val="clear" w:color="auto" w:fill="FFEBEE"/>
          </w:tcPr>
          <w:p>
            <w:pPr>
              <w:spacing w:before="40" w:after="40"/>
              <w:jc w:val="left"/>
            </w:pPr>
            <w:r>
              <w:rPr>
                <w:sz w:val="20"/>
              </w:rPr>
              <w:t>Version all data schemas; add schema validation step in ETL; pin column names in a constants.py file</w:t>
            </w:r>
          </w:p>
        </w:tc>
      </w:tr>
    </w:tbl>
    <w:p/>
    <w:p>
      <w:pPr>
        <w:pStyle w:val="Heading1"/>
        <w:spacing w:before="360" w:after="120"/>
      </w:pPr>
      <w:r>
        <w:rPr>
          <w:b/>
          <w:color w:val="00467F"/>
          <w:sz w:val="32"/>
        </w:rPr>
        <w:t>6. Open Decision Points</w:t>
      </w:r>
    </w:p>
    <w:p>
      <w:pPr>
        <w:spacing w:after="120" w:before="0"/>
      </w:pPr>
      <w:r>
        <w:rPr>
          <w:sz w:val="22"/>
        </w:rPr>
        <w:t>The following decisions must be made before or during Phase 1. Each is presented with the options, trade-offs, and a recommendation. Decisions marked BLOCKING cannot be deferred — they gate downstream implementation.</w:t>
      </w:r>
    </w:p>
    <w:p>
      <w:pPr>
        <w:pStyle w:val="Heading2"/>
        <w:spacing w:before="240" w:after="80"/>
      </w:pPr>
      <w:r>
        <w:rPr>
          <w:b/>
          <w:color w:val="1F497D"/>
          <w:sz w:val="26"/>
        </w:rPr>
        <w:t>Decision 1: Forecast Target Variable  [BLOCKING]</w:t>
      </w:r>
    </w:p>
    <w:tbl>
      <w:tblPr>
        <w:tblStyle w:val="TableGrid"/>
        <w:tblW w:type="auto" w:w="0"/>
        <w:jc w:val="left"/>
        <w:tblLook w:firstColumn="1" w:firstRow="1" w:lastColumn="0" w:lastRow="0" w:noHBand="0" w:noVBand="1" w:val="04A0"/>
      </w:tblPr>
      <w:tblGrid>
        <w:gridCol w:w="1728"/>
        <w:gridCol w:w="2592"/>
        <w:gridCol w:w="2880"/>
        <w:gridCol w:w="2880"/>
      </w:tblGrid>
      <w:tr>
        <w:tc>
          <w:tcPr>
            <w:tcW w:type="dxa" w:w="1728"/>
            <w:shd w:val="clear" w:color="auto" w:fill="1F4978"/>
          </w:tcPr>
          <w:p>
            <w:pPr>
              <w:spacing w:before="60" w:after="60"/>
              <w:jc w:val="left"/>
            </w:pPr>
            <w:r>
              <w:rPr>
                <w:b/>
                <w:color w:val="FFFFFF"/>
                <w:sz w:val="20"/>
              </w:rPr>
              <w:t>Option</w:t>
            </w:r>
          </w:p>
        </w:tc>
        <w:tc>
          <w:tcPr>
            <w:tcW w:type="dxa" w:w="2592"/>
            <w:shd w:val="clear" w:color="auto" w:fill="1F4978"/>
          </w:tcPr>
          <w:p>
            <w:pPr>
              <w:spacing w:before="60" w:after="60"/>
              <w:jc w:val="left"/>
            </w:pPr>
            <w:r>
              <w:rPr>
                <w:b/>
                <w:color w:val="FFFFFF"/>
                <w:sz w:val="20"/>
              </w:rPr>
              <w:t>Definition</w:t>
            </w:r>
          </w:p>
        </w:tc>
        <w:tc>
          <w:tcPr>
            <w:tcW w:type="dxa" w:w="2880"/>
            <w:shd w:val="clear" w:color="auto" w:fill="1F4978"/>
          </w:tcPr>
          <w:p>
            <w:pPr>
              <w:spacing w:before="60" w:after="60"/>
              <w:jc w:val="left"/>
            </w:pPr>
            <w:r>
              <w:rPr>
                <w:b/>
                <w:color w:val="FFFFFF"/>
                <w:sz w:val="20"/>
              </w:rPr>
              <w:t>Pros</w:t>
            </w:r>
          </w:p>
        </w:tc>
        <w:tc>
          <w:tcPr>
            <w:tcW w:type="dxa" w:w="2880"/>
            <w:shd w:val="clear" w:color="auto" w:fill="1F4978"/>
          </w:tcPr>
          <w:p>
            <w:pPr>
              <w:spacing w:before="60" w:after="60"/>
              <w:jc w:val="left"/>
            </w:pPr>
            <w:r>
              <w:rPr>
                <w:b/>
                <w:color w:val="FFFFFF"/>
                <w:sz w:val="20"/>
              </w:rPr>
              <w:t>Cons</w:t>
            </w:r>
          </w:p>
        </w:tc>
      </w:tr>
      <w:tr>
        <w:tc>
          <w:tcPr>
            <w:tcW w:type="dxa" w:w="1728"/>
            <w:shd w:val="clear" w:color="auto" w:fill="FFFFFF"/>
          </w:tcPr>
          <w:p>
            <w:pPr>
              <w:spacing w:before="40" w:after="40"/>
              <w:jc w:val="left"/>
            </w:pPr>
            <w:r>
              <w:rPr>
                <w:sz w:val="20"/>
              </w:rPr>
              <w:t>Option A (current)</w:t>
            </w:r>
          </w:p>
        </w:tc>
        <w:tc>
          <w:tcPr>
            <w:tcW w:type="dxa" w:w="2592"/>
            <w:shd w:val="clear" w:color="auto" w:fill="FFFFFF"/>
          </w:tcPr>
          <w:p>
            <w:pPr>
              <w:spacing w:before="40" w:after="40"/>
              <w:jc w:val="left"/>
            </w:pPr>
            <w:r>
              <w:rPr>
                <w:sz w:val="20"/>
              </w:rPr>
              <w:t>ILI+ = GOPC ILI rate/1000 × lab positivity fraction</w:t>
            </w:r>
          </w:p>
        </w:tc>
        <w:tc>
          <w:tcPr>
            <w:tcW w:type="dxa" w:w="2880"/>
            <w:shd w:val="clear" w:color="auto" w:fill="FFFFFF"/>
          </w:tcPr>
          <w:p>
            <w:pPr>
              <w:spacing w:before="40" w:after="40"/>
              <w:jc w:val="left"/>
            </w:pPr>
            <w:r>
              <w:rPr>
                <w:sz w:val="20"/>
              </w:rPr>
              <w:t>Already computed in master dataset; captures both clinical and virological signal</w:t>
            </w:r>
          </w:p>
        </w:tc>
        <w:tc>
          <w:tcPr>
            <w:tcW w:type="dxa" w:w="2880"/>
            <w:shd w:val="clear" w:color="auto" w:fill="FFFFFF"/>
          </w:tcPr>
          <w:p>
            <w:pPr>
              <w:spacing w:before="40" w:after="40"/>
              <w:jc w:val="left"/>
            </w:pPr>
            <w:r>
              <w:rPr>
                <w:sz w:val="20"/>
              </w:rPr>
              <w:t>Not a standard WHO metric; hard to benchmark against international studies; near-zero values cause MAPE issues</w:t>
            </w:r>
          </w:p>
        </w:tc>
      </w:tr>
      <w:tr>
        <w:tc>
          <w:tcPr>
            <w:tcW w:type="dxa" w:w="1728"/>
            <w:shd w:val="clear" w:color="auto" w:fill="EBF3FB"/>
          </w:tcPr>
          <w:p>
            <w:pPr>
              <w:spacing w:before="40" w:after="40"/>
              <w:jc w:val="left"/>
            </w:pPr>
            <w:r>
              <w:rPr>
                <w:sz w:val="20"/>
              </w:rPr>
              <w:t>Option B (preferred)</w:t>
            </w:r>
          </w:p>
        </w:tc>
        <w:tc>
          <w:tcPr>
            <w:tcW w:type="dxa" w:w="2592"/>
            <w:shd w:val="clear" w:color="auto" w:fill="EBF3FB"/>
          </w:tcPr>
          <w:p>
            <w:pPr>
              <w:spacing w:before="40" w:after="40"/>
              <w:jc w:val="left"/>
            </w:pPr>
            <w:r>
              <w:rPr>
                <w:sz w:val="20"/>
              </w:rPr>
              <w:t>Weekly lab positivity % = positive specimens / total specimens tested</w:t>
            </w:r>
          </w:p>
        </w:tc>
        <w:tc>
          <w:tcPr>
            <w:tcW w:type="dxa" w:w="2880"/>
            <w:shd w:val="clear" w:color="auto" w:fill="EBF3FB"/>
          </w:tcPr>
          <w:p>
            <w:pPr>
              <w:spacing w:before="40" w:after="40"/>
              <w:jc w:val="left"/>
            </w:pPr>
            <w:r>
              <w:rPr>
                <w:sz w:val="20"/>
              </w:rPr>
              <w:t>Direct FluSight analogue (wILI%); standard WHO FluNet metric; less susceptible to healthcare-seeking changes</w:t>
            </w:r>
          </w:p>
        </w:tc>
        <w:tc>
          <w:tcPr>
            <w:tcW w:type="dxa" w:w="2880"/>
            <w:shd w:val="clear" w:color="auto" w:fill="EBF3FB"/>
          </w:tcPr>
          <w:p>
            <w:pPr>
              <w:spacing w:before="40" w:after="40"/>
              <w:jc w:val="left"/>
            </w:pPr>
            <w:r>
              <w:rPr>
                <w:sz w:val="20"/>
              </w:rPr>
              <w:t>Does not capture clinical severity; FluNet data may lag CHP by 1-2 weeks</w:t>
            </w:r>
          </w:p>
        </w:tc>
      </w:tr>
      <w:tr>
        <w:tc>
          <w:tcPr>
            <w:tcW w:type="dxa" w:w="1728"/>
            <w:shd w:val="clear" w:color="auto" w:fill="FFFFFF"/>
          </w:tcPr>
          <w:p>
            <w:pPr>
              <w:spacing w:before="40" w:after="40"/>
              <w:jc w:val="left"/>
            </w:pPr>
            <w:r>
              <w:rPr>
                <w:sz w:val="20"/>
              </w:rPr>
              <w:t>Option C (secondary)</w:t>
            </w:r>
          </w:p>
        </w:tc>
        <w:tc>
          <w:tcPr>
            <w:tcW w:type="dxa" w:w="2592"/>
            <w:shd w:val="clear" w:color="auto" w:fill="FFFFFF"/>
          </w:tcPr>
          <w:p>
            <w:pPr>
              <w:spacing w:before="40" w:after="40"/>
              <w:jc w:val="left"/>
            </w:pPr>
            <w:r>
              <w:rPr>
                <w:sz w:val="20"/>
              </w:rPr>
              <w:t>GOPC ILI rate per 1,000 consultations</w:t>
            </w:r>
          </w:p>
        </w:tc>
        <w:tc>
          <w:tcPr>
            <w:tcW w:type="dxa" w:w="2880"/>
            <w:shd w:val="clear" w:color="auto" w:fill="FFFFFF"/>
          </w:tcPr>
          <w:p>
            <w:pPr>
              <w:spacing w:before="40" w:after="40"/>
              <w:jc w:val="left"/>
            </w:pPr>
            <w:r>
              <w:rPr>
                <w:sz w:val="20"/>
              </w:rPr>
              <w:t>Operationally relevant to CHP for resource planning; directly from CHP surveillance</w:t>
            </w:r>
          </w:p>
        </w:tc>
        <w:tc>
          <w:tcPr>
            <w:tcW w:type="dxa" w:w="2880"/>
            <w:shd w:val="clear" w:color="auto" w:fill="FFFFFF"/>
          </w:tcPr>
          <w:p>
            <w:pPr>
              <w:spacing w:before="40" w:after="40"/>
              <w:jc w:val="left"/>
            </w:pPr>
            <w:r>
              <w:rPr>
                <w:sz w:val="20"/>
              </w:rPr>
              <w:t>Affected by non-flu respiratory illness; no international comparator</w:t>
            </w:r>
          </w:p>
        </w:tc>
      </w:tr>
    </w:tbl>
    <w:p/>
    <w:p>
      <w:pPr>
        <w:spacing w:after="120" w:before="0"/>
      </w:pPr>
      <w:r>
        <w:rPr>
          <w:sz w:val="22"/>
        </w:rPr>
        <w:t>Recommendation: Adopt Option B (lab positivity %) as the primary forecast target for FluSight compatibility, with Option C (GOPC ILI rate) as the mandatory secondary target for CHP operational relevance. Retire Option A as the primary target.</w:t>
      </w:r>
    </w:p>
    <w:p>
      <w:pPr>
        <w:spacing w:before="80" w:after="80"/>
        <w:pBdr>
          <w:bottom w:val="single" w:sz="6" w:space="1" w:color="1F4978"/>
        </w:pBdr>
      </w:pPr>
    </w:p>
    <w:p>
      <w:pPr>
        <w:pStyle w:val="Heading2"/>
        <w:spacing w:before="240" w:after="80"/>
      </w:pPr>
      <w:r>
        <w:rPr>
          <w:b/>
          <w:color w:val="1F497D"/>
          <w:sz w:val="26"/>
        </w:rPr>
        <w:t>Decision 2: Seasonal Structure for SARIMA  [Needed by Phase 2]</w:t>
      </w:r>
    </w:p>
    <w:p>
      <w:pPr>
        <w:spacing w:after="120" w:before="0"/>
      </w:pPr>
      <w:r>
        <w:rPr>
          <w:sz w:val="22"/>
        </w:rPr>
        <w:t>Hong Kong has a bimodal pattern. The current SARIMA uses S=52 (annual). Options: (A) retain S=52 with AH regressors as bimodal proxy; (B) use S=26 (semi-annual) to explicitly model two peaks; (C) fit separate winter and summer models; (D) use a regime-switching model with HMM or threshold detection.</w:t>
      </w:r>
    </w:p>
    <w:p>
      <w:pPr>
        <w:spacing w:after="120" w:before="0"/>
      </w:pPr>
      <w:r>
        <w:rPr>
          <w:sz w:val="22"/>
        </w:rPr>
        <w:t>Recommendation: Test S=52 vs S=26 empirically using the existing dataset (AIC/BIC comparison + wave-stratified CV). Parallel-develop Option C (separate season models) as it is the most interpretable approach for clinician communication. Decision gate: Phase 2, Week 15.</w:t>
      </w:r>
    </w:p>
    <w:p>
      <w:pPr>
        <w:spacing w:before="80" w:after="80"/>
        <w:pBdr>
          <w:bottom w:val="single" w:sz="6" w:space="1" w:color="1F4978"/>
        </w:pBdr>
      </w:pPr>
    </w:p>
    <w:p>
      <w:pPr>
        <w:pStyle w:val="Heading2"/>
        <w:spacing w:before="240" w:after="80"/>
      </w:pPr>
      <w:r>
        <w:rPr>
          <w:b/>
          <w:color w:val="1F497D"/>
          <w:sz w:val="26"/>
        </w:rPr>
        <w:t>Decision 3: AWBE Window Length  [Needed by Phase 2]</w:t>
      </w:r>
    </w:p>
    <w:p>
      <w:pPr>
        <w:spacing w:after="120" w:before="0"/>
      </w:pPr>
      <w:r>
        <w:rPr>
          <w:sz w:val="22"/>
        </w:rPr>
        <w:t>The AWBE sliding window N determines how quickly weights adapt to model performance changes. Short N (4-6 weeks) is highly responsive but noisy; long N (16-20 weeks) is stable but slow to adapt. Published Hong Kong AWBE literature (Chan et al.) uses N=8-12.</w:t>
      </w:r>
    </w:p>
    <w:p>
      <w:pPr>
        <w:spacing w:after="120" w:before="0"/>
      </w:pPr>
      <w:r>
        <w:rPr>
          <w:sz w:val="22"/>
        </w:rPr>
        <w:t>Recommendation: Use N=8 weeks as the default, with sensitivity analysis at N=4, 12, 20. Define a minimum history threshold of 2N weeks before AWBE activates (fall back to equal weights below threshold).</w:t>
      </w:r>
    </w:p>
    <w:p>
      <w:pPr>
        <w:spacing w:before="80" w:after="80"/>
        <w:pBdr>
          <w:bottom w:val="single" w:sz="6" w:space="1" w:color="1F4978"/>
        </w:pBdr>
      </w:pPr>
    </w:p>
    <w:p>
      <w:pPr>
        <w:pStyle w:val="Heading2"/>
        <w:spacing w:before="240" w:after="80"/>
      </w:pPr>
      <w:r>
        <w:rPr>
          <w:b/>
          <w:color w:val="1F497D"/>
          <w:sz w:val="26"/>
        </w:rPr>
        <w:t>Decision 4: COVID Imputation Handling in Model Training  [Needed by Phase 0]</w:t>
      </w:r>
    </w:p>
    <w:p>
      <w:pPr>
        <w:spacing w:after="120" w:before="0"/>
      </w:pPr>
      <w:r>
        <w:rPr>
          <w:sz w:val="22"/>
        </w:rPr>
        <w:t>The imputed COVID-gap series (Apr 2020-Sep 2022, MAPE 76.3%) inflates training data uncertainty. Options: (A) include imputed weeks with equal weight; (B) exclude imputed weeks entirely; (C) include but down-weight using inverse MAPE; (D) train two models (one with, one without) and compare.</w:t>
      </w:r>
    </w:p>
    <w:p>
      <w:pPr>
        <w:spacing w:after="120" w:before="0"/>
      </w:pPr>
      <w:r>
        <w:rPr>
          <w:sz w:val="22"/>
        </w:rPr>
        <w:t>Recommendation: Option D as the validation protocol; Option B as the production default. The post-COVID period (2022-present) has sufficient data for robust training, and introducing high-uncertainty imputed data adds more noise than signal for near-term forecasting.</w:t>
      </w:r>
    </w:p>
    <w:p>
      <w:pPr>
        <w:spacing w:before="80" w:after="80"/>
        <w:pBdr>
          <w:bottom w:val="single" w:sz="6" w:space="1" w:color="1F4978"/>
        </w:pBdr>
      </w:pPr>
    </w:p>
    <w:p>
      <w:pPr>
        <w:pStyle w:val="Heading2"/>
        <w:spacing w:before="240" w:after="80"/>
      </w:pPr>
      <w:r>
        <w:rPr>
          <w:b/>
          <w:color w:val="1F497D"/>
          <w:sz w:val="26"/>
        </w:rPr>
        <w:t>Decision 5: Wastewater Integration Architecture  [Needed by Phase 2]</w:t>
      </w:r>
    </w:p>
    <w:p>
      <w:pPr>
        <w:spacing w:after="120" w:before="0"/>
      </w:pPr>
      <w:r>
        <w:rPr>
          <w:sz w:val="22"/>
        </w:rPr>
        <w:t>Wastewater data can be used as: (A) a leading indicator feature in the gradient boosting model only; (B) a separate standalone model (wastewater-based SEIR); (C) a real-time data stream that updates all model priors. Options B and C require a data-sharing agreement and lag structure analysis.</w:t>
      </w:r>
    </w:p>
    <w:p>
      <w:pPr>
        <w:spacing w:after="120" w:before="0"/>
      </w:pPr>
      <w:r>
        <w:rPr>
          <w:sz w:val="22"/>
        </w:rPr>
        <w:t>Recommendation: Start with Option A (feature in GB model) as it has no additional infrastructure requirements. Commission a lag cross-correlation analysis between wastewater viral load and ILI+ with the first 4 weeks of wastewater data. Promote to Option B once lag structure is validated.</w:t>
      </w:r>
    </w:p>
    <w:p>
      <w:pPr>
        <w:spacing w:before="80" w:after="80"/>
        <w:pBdr>
          <w:bottom w:val="single" w:sz="6" w:space="1" w:color="1F4978"/>
        </w:pBdr>
      </w:pPr>
    </w:p>
    <w:p>
      <w:pPr>
        <w:pStyle w:val="Heading2"/>
        <w:spacing w:before="240" w:after="80"/>
      </w:pPr>
      <w:r>
        <w:rPr>
          <w:b/>
          <w:color w:val="1F497D"/>
          <w:sz w:val="26"/>
        </w:rPr>
        <w:t>Decision 6: Hub Hosting and Data Governance  [Needed by Phase 3]</w:t>
      </w:r>
    </w:p>
    <w:p>
      <w:pPr>
        <w:spacing w:after="120" w:before="0"/>
      </w:pPr>
      <w:r>
        <w:rPr>
          <w:sz w:val="22"/>
        </w:rPr>
        <w:t>Options for hub hosting: (A) GitHub Pages + static JSON (low cost, no server needed, limitations for real-time); (B) HKU server with REST API (requires HKU IT agreement); (C) cloud-hosted (AWS/GCP, requires funding). Governance: CHP must decide whether to formally endorse forecasts or receive them as research outputs only.</w:t>
      </w:r>
    </w:p>
    <w:p>
      <w:pPr>
        <w:spacing w:after="120" w:before="0"/>
      </w:pPr>
      <w:r>
        <w:rPr>
          <w:sz w:val="22"/>
        </w:rPr>
        <w:t>Recommendation: Phase 3 prototype uses Option A (GitHub + static JSON) for rapid deployment. Apply for HKU server access in parallel. Initiate CHP governance conversation in Phase 1 alongside the target variable workshop.</w:t>
      </w:r>
    </w:p>
    <w:p>
      <w:pPr>
        <w:pStyle w:val="Heading1"/>
        <w:spacing w:before="360" w:after="120"/>
      </w:pPr>
      <w:r>
        <w:rPr>
          <w:b/>
          <w:color w:val="00467F"/>
          <w:sz w:val="32"/>
        </w:rPr>
        <w:t>7. Immediate Next Steps (Phase 0 Start)</w:t>
      </w:r>
    </w:p>
    <w:p>
      <w:pPr>
        <w:spacing w:after="120" w:before="0"/>
      </w:pPr>
      <w:r>
        <w:rPr>
          <w:sz w:val="22"/>
        </w:rPr>
        <w:t>The following actions should be initiated immediately, in order, before any new feature development begins.</w:t>
      </w:r>
    </w:p>
    <w:tbl>
      <w:tblPr>
        <w:tblStyle w:val="TableGrid"/>
        <w:tblW w:type="auto" w:w="0"/>
        <w:jc w:val="left"/>
        <w:tblLook w:firstColumn="1" w:firstRow="1" w:lastColumn="0" w:lastRow="0" w:noHBand="0" w:noVBand="1" w:val="04A0"/>
      </w:tblPr>
      <w:tblGrid>
        <w:gridCol w:w="432"/>
        <w:gridCol w:w="4032"/>
        <w:gridCol w:w="1872"/>
        <w:gridCol w:w="1296"/>
        <w:gridCol w:w="3168"/>
      </w:tblGrid>
      <w:tr>
        <w:tc>
          <w:tcPr>
            <w:tcW w:type="dxa" w:w="432"/>
            <w:shd w:val="clear" w:color="auto" w:fill="1F4978"/>
          </w:tcPr>
          <w:p>
            <w:pPr>
              <w:spacing w:before="60" w:after="60"/>
              <w:jc w:val="left"/>
            </w:pPr>
            <w:r>
              <w:rPr>
                <w:b/>
                <w:color w:val="FFFFFF"/>
                <w:sz w:val="20"/>
              </w:rPr>
              <w:t>#</w:t>
            </w:r>
          </w:p>
        </w:tc>
        <w:tc>
          <w:tcPr>
            <w:tcW w:type="dxa" w:w="4032"/>
            <w:shd w:val="clear" w:color="auto" w:fill="1F4978"/>
          </w:tcPr>
          <w:p>
            <w:pPr>
              <w:spacing w:before="60" w:after="60"/>
              <w:jc w:val="left"/>
            </w:pPr>
            <w:r>
              <w:rPr>
                <w:b/>
                <w:color w:val="FFFFFF"/>
                <w:sz w:val="20"/>
              </w:rPr>
              <w:t>Action</w:t>
            </w:r>
          </w:p>
        </w:tc>
        <w:tc>
          <w:tcPr>
            <w:tcW w:type="dxa" w:w="1872"/>
            <w:shd w:val="clear" w:color="auto" w:fill="1F4978"/>
          </w:tcPr>
          <w:p>
            <w:pPr>
              <w:spacing w:before="60" w:after="60"/>
              <w:jc w:val="left"/>
            </w:pPr>
            <w:r>
              <w:rPr>
                <w:b/>
                <w:color w:val="FFFFFF"/>
                <w:sz w:val="20"/>
              </w:rPr>
              <w:t>Owner</w:t>
            </w:r>
          </w:p>
        </w:tc>
        <w:tc>
          <w:tcPr>
            <w:tcW w:type="dxa" w:w="1296"/>
            <w:shd w:val="clear" w:color="auto" w:fill="1F4978"/>
          </w:tcPr>
          <w:p>
            <w:pPr>
              <w:spacing w:before="60" w:after="60"/>
              <w:jc w:val="left"/>
            </w:pPr>
            <w:r>
              <w:rPr>
                <w:b/>
                <w:color w:val="FFFFFF"/>
                <w:sz w:val="20"/>
              </w:rPr>
              <w:t>Deadline</w:t>
            </w:r>
          </w:p>
        </w:tc>
        <w:tc>
          <w:tcPr>
            <w:tcW w:type="dxa" w:w="3168"/>
            <w:shd w:val="clear" w:color="auto" w:fill="1F4978"/>
          </w:tcPr>
          <w:p>
            <w:pPr>
              <w:spacing w:before="60" w:after="60"/>
              <w:jc w:val="left"/>
            </w:pPr>
            <w:r>
              <w:rPr>
                <w:b/>
                <w:color w:val="FFFFFF"/>
                <w:sz w:val="20"/>
              </w:rPr>
              <w:t>Blocking For</w:t>
            </w:r>
          </w:p>
        </w:tc>
      </w:tr>
      <w:tr>
        <w:tc>
          <w:tcPr>
            <w:tcW w:type="dxa" w:w="432"/>
            <w:shd w:val="clear" w:color="auto" w:fill="FFFFFF"/>
          </w:tcPr>
          <w:p>
            <w:pPr>
              <w:spacing w:before="40" w:after="40"/>
              <w:jc w:val="left"/>
            </w:pPr>
            <w:r>
              <w:rPr>
                <w:sz w:val="20"/>
              </w:rPr>
              <w:t>1</w:t>
            </w:r>
          </w:p>
        </w:tc>
        <w:tc>
          <w:tcPr>
            <w:tcW w:type="dxa" w:w="4032"/>
            <w:shd w:val="clear" w:color="auto" w:fill="FFFFFF"/>
          </w:tcPr>
          <w:p>
            <w:pPr>
              <w:spacing w:before="40" w:after="40"/>
              <w:jc w:val="left"/>
            </w:pPr>
            <w:r>
              <w:rPr>
                <w:sz w:val="20"/>
              </w:rPr>
              <w:t>Reconstruct script 01 (data preparation) — highest priority stub</w:t>
            </w:r>
          </w:p>
        </w:tc>
        <w:tc>
          <w:tcPr>
            <w:tcW w:type="dxa" w:w="1872"/>
            <w:shd w:val="clear" w:color="auto" w:fill="FFFFFF"/>
          </w:tcPr>
          <w:p>
            <w:pPr>
              <w:spacing w:before="40" w:after="40"/>
              <w:jc w:val="left"/>
            </w:pPr>
            <w:r>
              <w:rPr>
                <w:sz w:val="20"/>
              </w:rPr>
              <w:t>Parth Singh</w:t>
            </w:r>
          </w:p>
        </w:tc>
        <w:tc>
          <w:tcPr>
            <w:tcW w:type="dxa" w:w="1296"/>
            <w:shd w:val="clear" w:color="auto" w:fill="FFFFFF"/>
          </w:tcPr>
          <w:p>
            <w:pPr>
              <w:spacing w:before="40" w:after="40"/>
              <w:jc w:val="left"/>
            </w:pPr>
            <w:r>
              <w:rPr>
                <w:sz w:val="20"/>
              </w:rPr>
              <w:t>Week 1</w:t>
            </w:r>
          </w:p>
        </w:tc>
        <w:tc>
          <w:tcPr>
            <w:tcW w:type="dxa" w:w="3168"/>
            <w:shd w:val="clear" w:color="auto" w:fill="FFFFFF"/>
          </w:tcPr>
          <w:p>
            <w:pPr>
              <w:spacing w:before="40" w:after="40"/>
              <w:jc w:val="left"/>
            </w:pPr>
            <w:r>
              <w:rPr>
                <w:sz w:val="20"/>
              </w:rPr>
              <w:t>All downstream scripts</w:t>
            </w:r>
          </w:p>
        </w:tc>
      </w:tr>
      <w:tr>
        <w:tc>
          <w:tcPr>
            <w:tcW w:type="dxa" w:w="432"/>
            <w:shd w:val="clear" w:color="auto" w:fill="EBF3FB"/>
          </w:tcPr>
          <w:p>
            <w:pPr>
              <w:spacing w:before="40" w:after="40"/>
              <w:jc w:val="left"/>
            </w:pPr>
            <w:r>
              <w:rPr>
                <w:sz w:val="20"/>
              </w:rPr>
              <w:t>2</w:t>
            </w:r>
          </w:p>
        </w:tc>
        <w:tc>
          <w:tcPr>
            <w:tcW w:type="dxa" w:w="4032"/>
            <w:shd w:val="clear" w:color="auto" w:fill="EBF3FB"/>
          </w:tcPr>
          <w:p>
            <w:pPr>
              <w:spacing w:before="40" w:after="40"/>
              <w:jc w:val="left"/>
            </w:pPr>
            <w:r>
              <w:rPr>
                <w:sz w:val="20"/>
              </w:rPr>
              <w:t>Reconstruct scripts 02-06 sequentially, validating each output against committed CSVs</w:t>
            </w:r>
          </w:p>
        </w:tc>
        <w:tc>
          <w:tcPr>
            <w:tcW w:type="dxa" w:w="1872"/>
            <w:shd w:val="clear" w:color="auto" w:fill="EBF3FB"/>
          </w:tcPr>
          <w:p>
            <w:pPr>
              <w:spacing w:before="40" w:after="40"/>
              <w:jc w:val="left"/>
            </w:pPr>
            <w:r>
              <w:rPr>
                <w:sz w:val="20"/>
              </w:rPr>
              <w:t>Parth Singh</w:t>
            </w:r>
          </w:p>
        </w:tc>
        <w:tc>
          <w:tcPr>
            <w:tcW w:type="dxa" w:w="1296"/>
            <w:shd w:val="clear" w:color="auto" w:fill="EBF3FB"/>
          </w:tcPr>
          <w:p>
            <w:pPr>
              <w:spacing w:before="40" w:after="40"/>
              <w:jc w:val="left"/>
            </w:pPr>
            <w:r>
              <w:rPr>
                <w:sz w:val="20"/>
              </w:rPr>
              <w:t>Week 2-3</w:t>
            </w:r>
          </w:p>
        </w:tc>
        <w:tc>
          <w:tcPr>
            <w:tcW w:type="dxa" w:w="3168"/>
            <w:shd w:val="clear" w:color="auto" w:fill="EBF3FB"/>
          </w:tcPr>
          <w:p>
            <w:pPr>
              <w:spacing w:before="40" w:after="40"/>
              <w:jc w:val="left"/>
            </w:pPr>
            <w:r>
              <w:rPr>
                <w:sz w:val="20"/>
              </w:rPr>
              <w:t>Pipeline reproducibility</w:t>
            </w:r>
          </w:p>
        </w:tc>
      </w:tr>
      <w:tr>
        <w:tc>
          <w:tcPr>
            <w:tcW w:type="dxa" w:w="432"/>
            <w:shd w:val="clear" w:color="auto" w:fill="FFFFFF"/>
          </w:tcPr>
          <w:p>
            <w:pPr>
              <w:spacing w:before="40" w:after="40"/>
              <w:jc w:val="left"/>
            </w:pPr>
            <w:r>
              <w:rPr>
                <w:sz w:val="20"/>
              </w:rPr>
              <w:t>3</w:t>
            </w:r>
          </w:p>
        </w:tc>
        <w:tc>
          <w:tcPr>
            <w:tcW w:type="dxa" w:w="4032"/>
            <w:shd w:val="clear" w:color="auto" w:fill="FFFFFF"/>
          </w:tcPr>
          <w:p>
            <w:pPr>
              <w:spacing w:before="40" w:after="40"/>
              <w:jc w:val="left"/>
            </w:pPr>
            <w:r>
              <w:rPr>
                <w:sz w:val="20"/>
              </w:rPr>
              <w:t>Add 23-quantile extraction to script 05 (from bootstrap draws)</w:t>
            </w:r>
          </w:p>
        </w:tc>
        <w:tc>
          <w:tcPr>
            <w:tcW w:type="dxa" w:w="1872"/>
            <w:shd w:val="clear" w:color="auto" w:fill="FFFFFF"/>
          </w:tcPr>
          <w:p>
            <w:pPr>
              <w:spacing w:before="40" w:after="40"/>
              <w:jc w:val="left"/>
            </w:pPr>
            <w:r>
              <w:rPr>
                <w:sz w:val="20"/>
              </w:rPr>
              <w:t>Parth Singh</w:t>
            </w:r>
          </w:p>
        </w:tc>
        <w:tc>
          <w:tcPr>
            <w:tcW w:type="dxa" w:w="1296"/>
            <w:shd w:val="clear" w:color="auto" w:fill="FFFFFF"/>
          </w:tcPr>
          <w:p>
            <w:pPr>
              <w:spacing w:before="40" w:after="40"/>
              <w:jc w:val="left"/>
            </w:pPr>
            <w:r>
              <w:rPr>
                <w:sz w:val="20"/>
              </w:rPr>
              <w:t>Week 3</w:t>
            </w:r>
          </w:p>
        </w:tc>
        <w:tc>
          <w:tcPr>
            <w:tcW w:type="dxa" w:w="3168"/>
            <w:shd w:val="clear" w:color="auto" w:fill="FFFFFF"/>
          </w:tcPr>
          <w:p>
            <w:pPr>
              <w:spacing w:before="40" w:after="40"/>
              <w:jc w:val="left"/>
            </w:pPr>
            <w:r>
              <w:rPr>
                <w:sz w:val="20"/>
              </w:rPr>
              <w:t>FluSight compatibility</w:t>
            </w:r>
          </w:p>
        </w:tc>
      </w:tr>
      <w:tr>
        <w:tc>
          <w:tcPr>
            <w:tcW w:type="dxa" w:w="432"/>
            <w:shd w:val="clear" w:color="auto" w:fill="EBF3FB"/>
          </w:tcPr>
          <w:p>
            <w:pPr>
              <w:spacing w:before="40" w:after="40"/>
              <w:jc w:val="left"/>
            </w:pPr>
            <w:r>
              <w:rPr>
                <w:sz w:val="20"/>
              </w:rPr>
              <w:t>4</w:t>
            </w:r>
          </w:p>
        </w:tc>
        <w:tc>
          <w:tcPr>
            <w:tcW w:type="dxa" w:w="4032"/>
            <w:shd w:val="clear" w:color="auto" w:fill="EBF3FB"/>
          </w:tcPr>
          <w:p>
            <w:pPr>
              <w:spacing w:before="40" w:after="40"/>
              <w:jc w:val="left"/>
            </w:pPr>
            <w:r>
              <w:rPr>
                <w:sz w:val="20"/>
              </w:rPr>
              <w:t>Implement WIS scoring utility (wis.py)</w:t>
            </w:r>
          </w:p>
        </w:tc>
        <w:tc>
          <w:tcPr>
            <w:tcW w:type="dxa" w:w="1872"/>
            <w:shd w:val="clear" w:color="auto" w:fill="EBF3FB"/>
          </w:tcPr>
          <w:p>
            <w:pPr>
              <w:spacing w:before="40" w:after="40"/>
              <w:jc w:val="left"/>
            </w:pPr>
            <w:r>
              <w:rPr>
                <w:sz w:val="20"/>
              </w:rPr>
              <w:t>Parth Singh</w:t>
            </w:r>
          </w:p>
        </w:tc>
        <w:tc>
          <w:tcPr>
            <w:tcW w:type="dxa" w:w="1296"/>
            <w:shd w:val="clear" w:color="auto" w:fill="EBF3FB"/>
          </w:tcPr>
          <w:p>
            <w:pPr>
              <w:spacing w:before="40" w:after="40"/>
              <w:jc w:val="left"/>
            </w:pPr>
            <w:r>
              <w:rPr>
                <w:sz w:val="20"/>
              </w:rPr>
              <w:t>Week 3</w:t>
            </w:r>
          </w:p>
        </w:tc>
        <w:tc>
          <w:tcPr>
            <w:tcW w:type="dxa" w:w="3168"/>
            <w:shd w:val="clear" w:color="auto" w:fill="EBF3FB"/>
          </w:tcPr>
          <w:p>
            <w:pPr>
              <w:spacing w:before="40" w:after="40"/>
              <w:jc w:val="left"/>
            </w:pPr>
            <w:r>
              <w:rPr>
                <w:sz w:val="20"/>
              </w:rPr>
              <w:t>AWBE, evaluation</w:t>
            </w:r>
          </w:p>
        </w:tc>
      </w:tr>
      <w:tr>
        <w:tc>
          <w:tcPr>
            <w:tcW w:type="dxa" w:w="432"/>
            <w:shd w:val="clear" w:color="auto" w:fill="FFFFFF"/>
          </w:tcPr>
          <w:p>
            <w:pPr>
              <w:spacing w:before="40" w:after="40"/>
              <w:jc w:val="left"/>
            </w:pPr>
            <w:r>
              <w:rPr>
                <w:sz w:val="20"/>
              </w:rPr>
              <w:t>5</w:t>
            </w:r>
          </w:p>
        </w:tc>
        <w:tc>
          <w:tcPr>
            <w:tcW w:type="dxa" w:w="4032"/>
            <w:shd w:val="clear" w:color="auto" w:fill="FFFFFF"/>
          </w:tcPr>
          <w:p>
            <w:pPr>
              <w:spacing w:before="40" w:after="40"/>
              <w:jc w:val="left"/>
            </w:pPr>
            <w:r>
              <w:rPr>
                <w:sz w:val="20"/>
              </w:rPr>
              <w:t>Schedule stakeholder workshop for target variable decision with supervisor/CHP contact</w:t>
            </w:r>
          </w:p>
        </w:tc>
        <w:tc>
          <w:tcPr>
            <w:tcW w:type="dxa" w:w="1872"/>
            <w:shd w:val="clear" w:color="auto" w:fill="FFFFFF"/>
          </w:tcPr>
          <w:p>
            <w:pPr>
              <w:spacing w:before="40" w:after="40"/>
              <w:jc w:val="left"/>
            </w:pPr>
            <w:r>
              <w:rPr>
                <w:sz w:val="20"/>
              </w:rPr>
              <w:t>Parth Singh + Supervisor</w:t>
            </w:r>
          </w:p>
        </w:tc>
        <w:tc>
          <w:tcPr>
            <w:tcW w:type="dxa" w:w="1296"/>
            <w:shd w:val="clear" w:color="auto" w:fill="FFFFFF"/>
          </w:tcPr>
          <w:p>
            <w:pPr>
              <w:spacing w:before="40" w:after="40"/>
              <w:jc w:val="left"/>
            </w:pPr>
            <w:r>
              <w:rPr>
                <w:sz w:val="20"/>
              </w:rPr>
              <w:t>Week 4</w:t>
            </w:r>
          </w:p>
        </w:tc>
        <w:tc>
          <w:tcPr>
            <w:tcW w:type="dxa" w:w="3168"/>
            <w:shd w:val="clear" w:color="auto" w:fill="FFFFFF"/>
          </w:tcPr>
          <w:p>
            <w:pPr>
              <w:spacing w:before="40" w:after="40"/>
              <w:jc w:val="left"/>
            </w:pPr>
            <w:r>
              <w:rPr>
                <w:sz w:val="20"/>
              </w:rPr>
              <w:t>Phase 1 ETL design</w:t>
            </w:r>
          </w:p>
        </w:tc>
      </w:tr>
      <w:tr>
        <w:tc>
          <w:tcPr>
            <w:tcW w:type="dxa" w:w="432"/>
            <w:shd w:val="clear" w:color="auto" w:fill="EBF3FB"/>
          </w:tcPr>
          <w:p>
            <w:pPr>
              <w:spacing w:before="40" w:after="40"/>
              <w:jc w:val="left"/>
            </w:pPr>
            <w:r>
              <w:rPr>
                <w:sz w:val="20"/>
              </w:rPr>
              <w:t>6</w:t>
            </w:r>
          </w:p>
        </w:tc>
        <w:tc>
          <w:tcPr>
            <w:tcW w:type="dxa" w:w="4032"/>
            <w:shd w:val="clear" w:color="auto" w:fill="EBF3FB"/>
          </w:tcPr>
          <w:p>
            <w:pPr>
              <w:spacing w:before="40" w:after="40"/>
              <w:jc w:val="left"/>
            </w:pPr>
            <w:r>
              <w:rPr>
                <w:sz w:val="20"/>
              </w:rPr>
              <w:t>Assess CHP Flu Express website structure for PDF scraping feasibility</w:t>
            </w:r>
          </w:p>
        </w:tc>
        <w:tc>
          <w:tcPr>
            <w:tcW w:type="dxa" w:w="1872"/>
            <w:shd w:val="clear" w:color="auto" w:fill="EBF3FB"/>
          </w:tcPr>
          <w:p>
            <w:pPr>
              <w:spacing w:before="40" w:after="40"/>
              <w:jc w:val="left"/>
            </w:pPr>
            <w:r>
              <w:rPr>
                <w:sz w:val="20"/>
              </w:rPr>
              <w:t>Parth Singh</w:t>
            </w:r>
          </w:p>
        </w:tc>
        <w:tc>
          <w:tcPr>
            <w:tcW w:type="dxa" w:w="1296"/>
            <w:shd w:val="clear" w:color="auto" w:fill="EBF3FB"/>
          </w:tcPr>
          <w:p>
            <w:pPr>
              <w:spacing w:before="40" w:after="40"/>
              <w:jc w:val="left"/>
            </w:pPr>
            <w:r>
              <w:rPr>
                <w:sz w:val="20"/>
              </w:rPr>
              <w:t>Week 4</w:t>
            </w:r>
          </w:p>
        </w:tc>
        <w:tc>
          <w:tcPr>
            <w:tcW w:type="dxa" w:w="3168"/>
            <w:shd w:val="clear" w:color="auto" w:fill="EBF3FB"/>
          </w:tcPr>
          <w:p>
            <w:pPr>
              <w:spacing w:before="40" w:after="40"/>
              <w:jc w:val="left"/>
            </w:pPr>
            <w:r>
              <w:rPr>
                <w:sz w:val="20"/>
              </w:rPr>
              <w:t>ETL pipeline</w:t>
            </w:r>
          </w:p>
        </w:tc>
      </w:tr>
      <w:tr>
        <w:tc>
          <w:tcPr>
            <w:tcW w:type="dxa" w:w="432"/>
            <w:shd w:val="clear" w:color="auto" w:fill="FFFFFF"/>
          </w:tcPr>
          <w:p>
            <w:pPr>
              <w:spacing w:before="40" w:after="40"/>
              <w:jc w:val="left"/>
            </w:pPr>
            <w:r>
              <w:rPr>
                <w:sz w:val="20"/>
              </w:rPr>
              <w:t>7</w:t>
            </w:r>
          </w:p>
        </w:tc>
        <w:tc>
          <w:tcPr>
            <w:tcW w:type="dxa" w:w="4032"/>
            <w:shd w:val="clear" w:color="auto" w:fill="FFFFFF"/>
          </w:tcPr>
          <w:p>
            <w:pPr>
              <w:spacing w:before="40" w:after="40"/>
              <w:jc w:val="left"/>
            </w:pPr>
            <w:r>
              <w:rPr>
                <w:sz w:val="20"/>
              </w:rPr>
              <w:t>Run full end-to-end pipeline test; document any discrepancies from committed outputs</w:t>
            </w:r>
          </w:p>
        </w:tc>
        <w:tc>
          <w:tcPr>
            <w:tcW w:type="dxa" w:w="1872"/>
            <w:shd w:val="clear" w:color="auto" w:fill="FFFFFF"/>
          </w:tcPr>
          <w:p>
            <w:pPr>
              <w:spacing w:before="40" w:after="40"/>
              <w:jc w:val="left"/>
            </w:pPr>
            <w:r>
              <w:rPr>
                <w:sz w:val="20"/>
              </w:rPr>
              <w:t>Parth Singh</w:t>
            </w:r>
          </w:p>
        </w:tc>
        <w:tc>
          <w:tcPr>
            <w:tcW w:type="dxa" w:w="1296"/>
            <w:shd w:val="clear" w:color="auto" w:fill="FFFFFF"/>
          </w:tcPr>
          <w:p>
            <w:pPr>
              <w:spacing w:before="40" w:after="40"/>
              <w:jc w:val="left"/>
            </w:pPr>
            <w:r>
              <w:rPr>
                <w:sz w:val="20"/>
              </w:rPr>
              <w:t>Week 4</w:t>
            </w:r>
          </w:p>
        </w:tc>
        <w:tc>
          <w:tcPr>
            <w:tcW w:type="dxa" w:w="3168"/>
            <w:shd w:val="clear" w:color="auto" w:fill="FFFFFF"/>
          </w:tcPr>
          <w:p>
            <w:pPr>
              <w:spacing w:before="40" w:after="40"/>
              <w:jc w:val="left"/>
            </w:pPr>
            <w:r>
              <w:rPr>
                <w:sz w:val="20"/>
              </w:rPr>
              <w:t>Phase 0 exit criterion</w:t>
            </w:r>
          </w:p>
        </w:tc>
      </w:tr>
      <w:tr>
        <w:tc>
          <w:tcPr>
            <w:tcW w:type="dxa" w:w="432"/>
            <w:shd w:val="clear" w:color="auto" w:fill="EBF3FB"/>
          </w:tcPr>
          <w:p>
            <w:pPr>
              <w:spacing w:before="40" w:after="40"/>
              <w:jc w:val="left"/>
            </w:pPr>
            <w:r>
              <w:rPr>
                <w:sz w:val="20"/>
              </w:rPr>
              <w:t>8</w:t>
            </w:r>
          </w:p>
        </w:tc>
        <w:tc>
          <w:tcPr>
            <w:tcW w:type="dxa" w:w="4032"/>
            <w:shd w:val="clear" w:color="auto" w:fill="EBF3FB"/>
          </w:tcPr>
          <w:p>
            <w:pPr>
              <w:spacing w:before="40" w:after="40"/>
              <w:jc w:val="left"/>
            </w:pPr>
            <w:r>
              <w:rPr>
                <w:sz w:val="20"/>
              </w:rPr>
              <w:t>Create hub/ directory structure in version control with placeholder READMEs</w:t>
            </w:r>
          </w:p>
        </w:tc>
        <w:tc>
          <w:tcPr>
            <w:tcW w:type="dxa" w:w="1872"/>
            <w:shd w:val="clear" w:color="auto" w:fill="EBF3FB"/>
          </w:tcPr>
          <w:p>
            <w:pPr>
              <w:spacing w:before="40" w:after="40"/>
              <w:jc w:val="left"/>
            </w:pPr>
            <w:r>
              <w:rPr>
                <w:sz w:val="20"/>
              </w:rPr>
              <w:t>Parth Singh</w:t>
            </w:r>
          </w:p>
        </w:tc>
        <w:tc>
          <w:tcPr>
            <w:tcW w:type="dxa" w:w="1296"/>
            <w:shd w:val="clear" w:color="auto" w:fill="EBF3FB"/>
          </w:tcPr>
          <w:p>
            <w:pPr>
              <w:spacing w:before="40" w:after="40"/>
              <w:jc w:val="left"/>
            </w:pPr>
            <w:r>
              <w:rPr>
                <w:sz w:val="20"/>
              </w:rPr>
              <w:t>Week 4</w:t>
            </w:r>
          </w:p>
        </w:tc>
        <w:tc>
          <w:tcPr>
            <w:tcW w:type="dxa" w:w="3168"/>
            <w:shd w:val="clear" w:color="auto" w:fill="EBF3FB"/>
          </w:tcPr>
          <w:p>
            <w:pPr>
              <w:spacing w:before="40" w:after="40"/>
              <w:jc w:val="left"/>
            </w:pPr>
            <w:r>
              <w:rPr>
                <w:sz w:val="20"/>
              </w:rPr>
              <w:t>Phase 1 hub skeleton</w:t>
            </w:r>
          </w:p>
        </w:tc>
      </w:tr>
    </w:tbl>
    <w:p/>
    <w:p>
      <w:pPr>
        <w:pStyle w:val="Heading1"/>
        <w:spacing w:before="360" w:after="120"/>
      </w:pPr>
      <w:r>
        <w:rPr>
          <w:b/>
          <w:color w:val="00467F"/>
          <w:sz w:val="32"/>
        </w:rPr>
        <w:t>Appendix A: FluSight Quantile Format Reference</w:t>
      </w:r>
    </w:p>
    <w:p>
      <w:pPr>
        <w:spacing w:after="120" w:before="0"/>
      </w:pPr>
      <w:r>
        <w:rPr>
          <w:sz w:val="22"/>
        </w:rPr>
        <w:t>All model submissions to HK-FluEns must follow the FluSight CSV format (adapted for Hong Kong targets).</w:t>
      </w:r>
    </w:p>
    <w:p>
      <w:pPr>
        <w:spacing w:before="80" w:after="160"/>
      </w:pPr>
      <w:r>
        <w:rPr>
          <w:rFonts w:ascii="Courier New" w:hAnsi="Courier New"/>
          <w:sz w:val="18"/>
        </w:rPr>
        <w:t>forecast_date, target, horizon, type, quantile, value</w:t>
        <w:br/>
        <w:t>2026-04-05, lab_positivity_pct, 1 wk ahead, quantile, 0.010, 3.2</w:t>
        <w:br/>
        <w:t>2026-04-05, lab_positivity_pct, 1 wk ahead, quantile, 0.025, 4.1</w:t>
        <w:br/>
        <w:t>...</w:t>
        <w:br/>
        <w:t>2026-04-05, lab_positivity_pct, 1 wk ahead, quantile, 0.500, 12.5</w:t>
        <w:br/>
        <w:t>...</w:t>
        <w:br/>
        <w:t>2026-04-05, lab_positivity_pct, 1 wk ahead, quantile, 0.990, 31.8</w:t>
        <w:br/>
        <w:t>2026-04-05, lab_positivity_pct, 1 wk ahead, point, NA, 12.5</w:t>
      </w:r>
    </w:p>
    <w:p>
      <w:pPr>
        <w:spacing w:after="120" w:before="0"/>
      </w:pPr>
      <w:r>
        <w:rPr>
          <w:sz w:val="22"/>
        </w:rPr>
        <w:t>Required quantile levels (23 total): 0.010, 0.025, 0.050, 0.100, 0.150, 0.200, 0.250, 0.300, 0.350, 0.400, 0.450, 0.500, 0.550, 0.600, 0.650, 0.700, 0.750, 0.800, 0.850, 0.900, 0.950, 0.975, 0.990. Plus one 'point' type row per horizon.</w:t>
      </w:r>
    </w:p>
    <w:p>
      <w:pPr>
        <w:spacing w:after="120" w:before="0"/>
      </w:pPr>
      <w:r>
        <w:rPr>
          <w:sz w:val="22"/>
        </w:rPr>
        <w:t>Targets: lab_positivity_pct (primary), gopc_ili_rate_per1000 (secondary). Horizons: 1 wk ahead, 2 wk ahead, 3 wk ahead, 4 wk ahead.</w:t>
      </w:r>
    </w:p>
    <w:p>
      <w:pPr>
        <w:pStyle w:val="Heading1"/>
        <w:spacing w:before="360" w:after="120"/>
      </w:pPr>
      <w:r>
        <w:rPr>
          <w:b/>
          <w:color w:val="00467F"/>
          <w:sz w:val="32"/>
        </w:rPr>
        <w:t>Appendix B: Weighted Interval Score (WIS) Formula</w:t>
      </w:r>
    </w:p>
    <w:p>
      <w:pPr>
        <w:spacing w:after="120" w:before="0"/>
      </w:pPr>
      <w:r>
        <w:rPr>
          <w:sz w:val="22"/>
        </w:rPr>
        <w:t>WIS is the primary evaluation metric for HK-FluEns, consistent with FluSight. For a single forecast at quantile level α and observed value y:</w:t>
      </w:r>
    </w:p>
    <w:p>
      <w:r>
        <w:rPr>
          <w:rFonts w:ascii="Courier New" w:hAnsi="Courier New"/>
          <w:sz w:val="18"/>
        </w:rPr>
        <w:t>IS_α(l, u) = (u - l) + (2/α)(l - y)[y &lt; l] + (2/α)(y - u)[y &gt; u]</w:t>
        <w:br/>
        <w:br/>
        <w:t>WIS = (1/K) * Σ_α IS_α(l_α, u_α) + |y - point_forecast| / 2</w:t>
        <w:br/>
        <w:br/>
        <w:t>where K = number of quantile intervals (11 symmetric intervals from α=0.02 to α=0.98)</w:t>
      </w:r>
    </w:p>
    <w:p>
      <w:pPr>
        <w:spacing w:after="120" w:before="0"/>
      </w:pPr>
      <w:r>
        <w:rPr>
          <w:sz w:val="22"/>
        </w:rPr>
        <w:t>WIS decomposes into: sharpness (average PI width), calibration (underprediction + overprediction penalties). A model with narrow, well-calibrated intervals achieves the lowest WIS. The AWBE re-weights models inversely proportional to their rolling WIS.</w:t>
      </w:r>
    </w:p>
    <w:p>
      <w:pPr>
        <w:pStyle w:val="Heading1"/>
        <w:spacing w:before="360" w:after="120"/>
      </w:pPr>
      <w:r>
        <w:rPr>
          <w:b/>
          <w:color w:val="00467F"/>
          <w:sz w:val="32"/>
        </w:rPr>
        <w:t>Appendix C: AWBE Algorithm Sketch</w:t>
      </w:r>
    </w:p>
    <w:p>
      <w:r>
        <w:rPr>
          <w:rFonts w:ascii="Courier New" w:hAnsi="Courier New"/>
          <w:sz w:val="18"/>
        </w:rPr>
        <w:t># Pseudocode: Adaptive Weight Blending Ensemble</w:t>
        <w:br/>
        <w:t># N = sliding window length (e.g. 8 weeks)</w:t>
        <w:br/>
        <w:t># K = number of models</w:t>
        <w:br/>
        <w:br/>
        <w:t>For each forecast date t:</w:t>
        <w:br/>
        <w:t xml:space="preserve">  if t &lt; t_start + 2*N:  # insufficient history</w:t>
        <w:br/>
        <w:t xml:space="preserve">    weights = [1/K] * K  # equal weights</w:t>
        <w:br/>
        <w:t xml:space="preserve">  else:</w:t>
        <w:br/>
        <w:t xml:space="preserve">    wis = []  # collect recent WIS per model</w:t>
        <w:br/>
        <w:t xml:space="preserve">    for model_k in models:</w:t>
        <w:br/>
        <w:t xml:space="preserve">      wis_k = mean(WIS(model_k, t-N:t-1))  # rolling window</w:t>
        <w:br/>
        <w:t xml:space="preserve">      wis.append(wis_k)</w:t>
        <w:br/>
        <w:t xml:space="preserve">    # Inverse-WIS softmax</w:t>
        <w:br/>
        <w:t xml:space="preserve">    inv_wis = [1 / (w + epsilon) for w in wis]</w:t>
        <w:br/>
        <w:t xml:space="preserve">    weights = softmax(inv_wis)  # sum to 1</w:t>
        <w:br/>
        <w:t xml:space="preserve">  ensemble_quantile_q = sum(w_k * model_k_quantile_q for k, w in zip(models, weights))</w:t>
        <w:br/>
        <w:t xml:space="preserve">  log_weight_table(t, weights)</w:t>
      </w:r>
    </w:p>
    <w:p>
      <w:pPr>
        <w:spacing w:after="120" w:before="0"/>
      </w:pPr>
      <w:r>
        <w:rPr>
          <w:sz w:val="22"/>
        </w:rPr>
        <w:t>Note: Linear quantile pooling (weighted average of CDFs at each quantile level) is the recommended combination method, as it preserves the calibration properties of individual model distributions better than averaging point forecasts.</w:t>
      </w:r>
    </w:p>
    <w:p/>
    <w:p>
      <w:pPr>
        <w:jc w:val="center"/>
      </w:pPr>
      <w:r>
        <w:rPr>
          <w:i/>
          <w:color w:val="7F7F7F"/>
          <w:sz w:val="18"/>
        </w:rPr>
        <w:t>HK-FluEns Planning Document  |  March 2026  |  Parth Singh  |  Confidential — Planning Phase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