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jc w:val="center"/>
      </w:pPr>
      <w:r>
        <w:rPr>
          <w:rFonts w:ascii="Arial" w:cs="Arial" w:eastAsia="Arial" w:hAnsi="Arial"/>
          <w:b/>
          <w:bCs/>
          <w:color w:val="1A3A5C"/>
          <w:sz w:val="56"/>
          <w:szCs w:val="56"/>
        </w:rPr>
        <w:t xml:space="preserve">MODEL CARD</w:t>
      </w:r>
    </w:p>
    <w:p>
      <w:pPr>
        <w:spacing w:before="0" w:after="80"/>
        <w:jc w:val="center"/>
      </w:pPr>
      <w:r>
        <w:rPr>
          <w:rFonts w:ascii="Arial" w:cs="Arial" w:eastAsia="Arial" w:hAnsi="Arial"/>
          <w:color w:val="2E6DA4"/>
          <w:sz w:val="34"/>
          <w:szCs w:val="34"/>
        </w:rPr>
        <w:t xml:space="preserve">Hong Kong Influenza Peak Forecasting</w:t>
      </w:r>
    </w:p>
    <w:p>
      <w:pPr>
        <w:spacing w:before="0" w:after="60"/>
        <w:jc w:val="center"/>
      </w:pPr>
      <w:r>
        <w:rPr>
          <w:rFonts w:ascii="Arial" w:cs="Arial" w:eastAsia="Arial" w:hAnsi="Arial"/>
          <w:b/>
          <w:bCs/>
          <w:color w:val="1A3A5C"/>
          <w:sz w:val="26"/>
          <w:szCs w:val="26"/>
        </w:rPr>
        <w:t xml:space="preserve">Version 2.0</w:t>
      </w:r>
    </w:p>
    <w:p>
      <w:pPr>
        <w:spacing w:before="0" w:after="360"/>
        <w:jc w:val="center"/>
      </w:pPr>
      <w:r>
        <w:rPr>
          <w:rFonts w:ascii="Arial" w:cs="Arial" w:eastAsia="Arial" w:hAnsi="Arial"/>
          <w:i/>
          <w:iCs/>
          <w:color w:val="555555"/>
          <w:sz w:val="21"/>
          <w:szCs w:val="21"/>
        </w:rPr>
        <w:t xml:space="preserve">Supervisor Handoff Package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Field</w:t>
            </w:r>
          </w:p>
        </w:tc>
        <w:tc>
          <w:tcPr>
            <w:tcW w:type="dxa" w:w="696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Detail</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Model Name</w:t>
            </w:r>
          </w:p>
        </w:tc>
        <w:tc>
          <w:tcPr>
            <w:tcW w:type="dxa" w:w="69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HK Influenza ARIMAX Forecaster</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Version</w:t>
            </w:r>
          </w:p>
        </w:tc>
        <w:tc>
          <w:tcPr>
            <w:tcW w:type="dxa" w:w="69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2.0  (supersedes v1.0, March 2026)</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Date</w:t>
            </w:r>
          </w:p>
        </w:tc>
        <w:tc>
          <w:tcPr>
            <w:tcW w:type="dxa" w:w="69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18 March 2026</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Author</w:t>
            </w:r>
          </w:p>
        </w:tc>
        <w:tc>
          <w:tcPr>
            <w:tcW w:type="dxa" w:w="69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Parth Singh (Practicum)</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Supervisor</w:t>
            </w:r>
          </w:p>
        </w:tc>
        <w:tc>
          <w:tcPr>
            <w:tcW w:type="dxa" w:w="69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Mr. Chen JunQiao</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Status</w:t>
            </w:r>
          </w:p>
        </w:tc>
        <w:tc>
          <w:tcPr>
            <w:tcW w:type="dxa" w:w="69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DRAFT — Awaiting Supervisor Sign-Off</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Primary Change</w:t>
            </w:r>
          </w:p>
        </w:tc>
        <w:tc>
          <w:tcPr>
            <w:tcW w:type="dxa" w:w="69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COVID gap imputed; model order documented; CV added; H3N2 + vacc tested</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Intended Audience</w:t>
            </w:r>
          </w:p>
        </w:tc>
        <w:tc>
          <w:tcPr>
            <w:tcW w:type="dxa" w:w="69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Supervisor review; potential CHP submission</w:t>
            </w:r>
          </w:p>
        </w:tc>
      </w:tr>
    </w:tbl>
    <w:p>
      <w:pPr>
        <w:spacing w:before="180" w:after="180"/>
      </w:pPr>
    </w:p>
    <w:p>
      <w:pPr>
        <w:spacing w:before="60" w:after="60"/>
        <w:jc w:val="both"/>
      </w:pPr>
      <w:r>
        <w:rPr>
          <w:rFonts w:ascii="Arial" w:cs="Arial" w:eastAsia="Arial" w:hAnsi="Arial"/>
          <w:sz w:val="20"/>
          <w:szCs w:val="20"/>
        </w:rPr>
        <w:t xml:space="preserve">This package documents all changes made to the Hong Kong influenza forecasting model between v1.0 (auto.arima baseline) and v2.0 (fully documented ARIMAX pipeline). It is structured for independent verification by Mr. Chen without requiring access to the original code session.</w:t>
      </w:r>
    </w:p>
    <w:p>
      <w:r>
        <w:br w:type="page"/>
      </w:r>
    </w:p>
    <w:p>
      <w:pPr>
        <w:pStyle w:val="Heading1"/>
        <w:pBdr>
          <w:bottom w:val="single" w:color="2E6DA4" w:sz="8" w:space="4"/>
        </w:pBdr>
        <w:spacing w:before="320" w:after="160"/>
      </w:pPr>
      <w:r>
        <w:rPr>
          <w:rFonts w:ascii="Arial" w:cs="Arial" w:eastAsia="Arial" w:hAnsi="Arial"/>
          <w:b/>
          <w:bCs/>
          <w:color w:val="1A3A5C"/>
          <w:sz w:val="28"/>
          <w:szCs w:val="28"/>
        </w:rPr>
        <w:t xml:space="preserve">1. Model Description</w:t>
      </w:r>
    </w:p>
    <w:p>
      <w:pPr>
        <w:pStyle w:val="Heading2"/>
        <w:spacing w:before="220" w:after="100"/>
      </w:pPr>
      <w:r>
        <w:rPr>
          <w:rFonts w:ascii="Arial" w:cs="Arial" w:eastAsia="Arial" w:hAnsi="Arial"/>
          <w:b/>
          <w:bCs/>
          <w:color w:val="2E6DA4"/>
          <w:sz w:val="24"/>
          <w:szCs w:val="24"/>
        </w:rPr>
        <w:t xml:space="preserve">1.1 Overview</w:t>
      </w:r>
    </w:p>
    <w:p>
      <w:pPr>
        <w:spacing w:before="60" w:after="60"/>
        <w:jc w:val="both"/>
      </w:pPr>
      <w:r>
        <w:rPr>
          <w:rFonts w:ascii="Arial" w:cs="Arial" w:eastAsia="Arial" w:hAnsi="Arial"/>
          <w:sz w:val="20"/>
          <w:szCs w:val="20"/>
        </w:rPr>
        <w:t xml:space="preserve">The v2.0 model forecasts </w:t>
      </w:r>
      <w:r>
        <w:rPr>
          <w:rFonts w:ascii="Arial" w:cs="Arial" w:eastAsia="Arial" w:hAnsi="Arial"/>
          <w:b/>
          <w:bCs/>
          <w:sz w:val="20"/>
          <w:szCs w:val="20"/>
        </w:rPr>
        <w:t xml:space="preserve">influenza activity peak timing and magnitude</w:t>
      </w:r>
      <w:r>
        <w:rPr>
          <w:rFonts w:ascii="Arial" w:cs="Arial" w:eastAsia="Arial" w:hAnsi="Arial"/>
          <w:sz w:val="20"/>
          <w:szCs w:val="20"/>
        </w:rPr>
        <w:t xml:space="preserve"> in Hong Kong up to 52 weeks ahead, using weekly ILI+ data from the CHP sentinel surveillance network. The model is an </w:t>
      </w:r>
      <w:r>
        <w:rPr>
          <w:rFonts w:ascii="Arial" w:cs="Arial" w:eastAsia="Arial" w:hAnsi="Arial"/>
          <w:b/>
          <w:bCs/>
          <w:sz w:val="20"/>
          <w:szCs w:val="20"/>
        </w:rPr>
        <w:t xml:space="preserve">ARIMAX(1,0,1) with seasonal differencing at lag 52 weeks</w:t>
      </w:r>
      <w:r>
        <w:rPr>
          <w:rFonts w:ascii="Arial" w:cs="Arial" w:eastAsia="Arial" w:hAnsi="Arial"/>
          <w:sz w:val="20"/>
          <w:szCs w:val="20"/>
        </w:rPr>
        <w:t xml:space="preserve">, with climatological temperature and absolute humidity as external regressors.</w:t>
      </w:r>
    </w:p>
    <w:p>
      <w:pPr>
        <w:spacing w:before="60" w:after="60"/>
      </w:pPr>
    </w:p>
    <w:p>
      <w:pPr>
        <w:spacing w:before="60" w:after="60"/>
        <w:jc w:val="both"/>
      </w:pPr>
      <w:r>
        <w:rPr>
          <w:rFonts w:ascii="Arial" w:cs="Arial" w:eastAsia="Arial" w:hAnsi="Arial"/>
          <w:b/>
          <w:bCs/>
          <w:sz w:val="20"/>
          <w:szCs w:val="20"/>
        </w:rPr>
        <w:t xml:space="preserve">Model equation:  </w:t>
      </w:r>
      <w:r>
        <w:rPr>
          <w:rFonts w:ascii="Courier New" w:cs="Courier New" w:eastAsia="Courier New" w:hAnsi="Courier New"/>
          <w:color w:val="2E4057"/>
          <w:sz w:val="18"/>
          <w:szCs w:val="18"/>
        </w:rPr>
        <w:t xml:space="preserve">Δ52 y_t = μ + φ₁·Δ52 y_{t-1} + θ₁·ε_{t-1} + β₁·Δ52 TEMP_t + β₂·Δ52 AH_t + ε_t</w:t>
      </w:r>
    </w:p>
    <w:p>
      <w:pPr>
        <w:spacing w:before="80" w:after="80"/>
      </w:pPr>
    </w:p>
    <w:p>
      <w:pPr>
        <w:pStyle w:val="Heading2"/>
        <w:spacing w:before="220" w:after="100"/>
      </w:pPr>
      <w:r>
        <w:rPr>
          <w:rFonts w:ascii="Arial" w:cs="Arial" w:eastAsia="Arial" w:hAnsi="Arial"/>
          <w:b/>
          <w:bCs/>
          <w:color w:val="2E6DA4"/>
          <w:sz w:val="24"/>
          <w:szCs w:val="24"/>
        </w:rPr>
        <w:t xml:space="preserve">1.2 What Changed from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Component</w:t>
            </w:r>
          </w:p>
        </w:tc>
        <w:tc>
          <w:tcPr>
            <w:tcW w:type="dxa" w:w="328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v1.0 (Baseline)</w:t>
            </w:r>
          </w:p>
        </w:tc>
        <w:tc>
          <w:tcPr>
            <w:tcW w:type="dxa" w:w="388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v2.0 (This Work)</w:t>
            </w:r>
          </w:p>
        </w:tc>
      </w:tr>
      <w:tr>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COVID gap</w:t>
            </w:r>
          </w:p>
        </w:tc>
        <w:tc>
          <w:tcPr>
            <w:tcW w:type="dxa" w:w="32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54 weeks fed as zeros</w:t>
            </w:r>
          </w:p>
        </w:tc>
        <w:tc>
          <w:tcPr>
            <w:tcW w:type="dxa" w:w="38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Imputed via na_seadec</w:t>
            </w:r>
          </w:p>
        </w:tc>
      </w:tr>
      <w:tr>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Model selection</w:t>
            </w:r>
          </w:p>
        </w:tc>
        <w:tc>
          <w:tcPr>
            <w:tcW w:type="dxa" w:w="328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auto.arima — undocumented</w:t>
            </w:r>
          </w:p>
        </w:tc>
        <w:tc>
          <w:tcPr>
            <w:tcW w:type="dxa" w:w="388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9 candidates; ARIMAX(1,0,1) by AIC+BIC</w:t>
            </w:r>
          </w:p>
        </w:tc>
      </w:tr>
      <w:tr>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Regressors</w:t>
            </w:r>
          </w:p>
        </w:tc>
        <w:tc>
          <w:tcPr>
            <w:tcW w:type="dxa" w:w="32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None</w:t>
            </w:r>
          </w:p>
        </w:tc>
        <w:tc>
          <w:tcPr>
            <w:tcW w:type="dxa" w:w="38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HKO 30-yr temp + absolute humidity</w:t>
            </w:r>
          </w:p>
        </w:tc>
      </w:tr>
      <w:tr>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Uncertainty</w:t>
            </w:r>
          </w:p>
        </w:tc>
        <w:tc>
          <w:tcPr>
            <w:tcW w:type="dxa" w:w="328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Gaussian PI (invalid for ILI+)</w:t>
            </w:r>
          </w:p>
        </w:tc>
        <w:tc>
          <w:tcPr>
            <w:tcW w:type="dxa" w:w="388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Bootstrap PI (n=500)</w:t>
            </w:r>
          </w:p>
        </w:tc>
      </w:tr>
      <w:tr>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Validation</w:t>
            </w:r>
          </w:p>
        </w:tc>
        <w:tc>
          <w:tcPr>
            <w:tcW w:type="dxa" w:w="32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None</w:t>
            </w:r>
          </w:p>
        </w:tc>
        <w:tc>
          <w:tcPr>
            <w:tcW w:type="dxa" w:w="38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Rolling-origin CV, 4 windows</w:t>
            </w:r>
          </w:p>
        </w:tc>
      </w:tr>
      <w:tr>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Accuracy metric</w:t>
            </w:r>
          </w:p>
        </w:tc>
        <w:tc>
          <w:tcPr>
            <w:tcW w:type="dxa" w:w="328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MAPE (unreliable near zero)</w:t>
            </w:r>
          </w:p>
        </w:tc>
        <w:tc>
          <w:tcPr>
            <w:tcW w:type="dxa" w:w="388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MAE only (MAPE dropped)</w:t>
            </w:r>
          </w:p>
        </w:tc>
      </w:tr>
      <w:tr>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Diagnostics</w:t>
            </w:r>
          </w:p>
        </w:tc>
        <w:tc>
          <w:tcPr>
            <w:tcW w:type="dxa" w:w="32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Not run</w:t>
            </w:r>
          </w:p>
        </w:tc>
        <w:tc>
          <w:tcPr>
            <w:tcW w:type="dxa" w:w="38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Ljung-Box, ACF/PACF, Q-Q, Shapiro-Wilk</w:t>
            </w:r>
          </w:p>
        </w:tc>
      </w:tr>
      <w:tr>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Extended regressors</w:t>
            </w:r>
          </w:p>
        </w:tc>
        <w:tc>
          <w:tcPr>
            <w:tcW w:type="dxa" w:w="328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Not tested</w:t>
            </w:r>
          </w:p>
        </w:tc>
        <w:tc>
          <w:tcPr>
            <w:tcW w:type="dxa" w:w="388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H3N2 + vaccination tested; AIC favours parsimonious model</w:t>
            </w:r>
          </w:p>
        </w:tc>
      </w:tr>
    </w:tbl>
    <w:p>
      <w:pPr>
        <w:spacing w:before="120" w:after="120"/>
      </w:pPr>
    </w:p>
    <w:p>
      <w:pPr>
        <w:pStyle w:val="Heading2"/>
        <w:spacing w:before="220" w:after="100"/>
      </w:pPr>
      <w:r>
        <w:rPr>
          <w:rFonts w:ascii="Arial" w:cs="Arial" w:eastAsia="Arial" w:hAnsi="Arial"/>
          <w:b/>
          <w:bCs/>
          <w:color w:val="2E6DA4"/>
          <w:sz w:val="24"/>
          <w:szCs w:val="24"/>
        </w:rPr>
        <w:t xml:space="preserve">1.3 Fitted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Parameter</w:t>
            </w:r>
          </w:p>
        </w:tc>
        <w:tc>
          <w:tcPr>
            <w:tcW w:type="dxa" w:w="20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Estimate</w:t>
            </w:r>
          </w:p>
        </w:tc>
        <w:tc>
          <w:tcPr>
            <w:tcW w:type="dxa" w:w="496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Interpretation</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μ (intercept)</w:t>
            </w:r>
          </w:p>
        </w:tc>
        <w:tc>
          <w:tcPr>
            <w:tcW w:type="dxa" w:w="2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+0.000076</w:t>
            </w:r>
          </w:p>
        </w:tc>
        <w:tc>
          <w:tcPr>
            <w:tcW w:type="dxa" w:w="49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Baseline drift after seasonal differencing</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φ₁ (AR1)</w:t>
            </w:r>
          </w:p>
        </w:tc>
        <w:tc>
          <w:tcPr>
            <w:tcW w:type="dxa" w:w="20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+0.7902</w:t>
            </w:r>
          </w:p>
        </w:tc>
        <w:tc>
          <w:tcPr>
            <w:tcW w:type="dxa" w:w="49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Week-to-week persistence  |φ|&lt;1 ✓</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θ₁ (MA1)</w:t>
            </w:r>
          </w:p>
        </w:tc>
        <w:tc>
          <w:tcPr>
            <w:tcW w:type="dxa" w:w="2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+0.3198</w:t>
            </w:r>
          </w:p>
        </w:tc>
        <w:tc>
          <w:tcPr>
            <w:tcW w:type="dxa" w:w="49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Moving average smoothing  |θ|&lt;1 ✓</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β_temp (norm.)</w:t>
            </w:r>
          </w:p>
        </w:tc>
        <w:tc>
          <w:tcPr>
            <w:tcW w:type="dxa" w:w="20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−0.00084</w:t>
            </w:r>
          </w:p>
        </w:tc>
        <w:tc>
          <w:tcPr>
            <w:tcW w:type="dxa" w:w="49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Higher temp → lower ILI+ (correct sign ✓)</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β_AH (norm.)</w:t>
            </w:r>
          </w:p>
        </w:tc>
        <w:tc>
          <w:tcPr>
            <w:tcW w:type="dxa" w:w="2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+0.00086</w:t>
            </w:r>
          </w:p>
        </w:tc>
        <w:tc>
          <w:tcPr>
            <w:tcW w:type="dxa" w:w="49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Absolute humidity effect</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σ²</w:t>
            </w:r>
          </w:p>
        </w:tc>
        <w:tc>
          <w:tcPr>
            <w:tcW w:type="dxa" w:w="20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5.44×10⁻⁶</w:t>
            </w:r>
          </w:p>
        </w:tc>
        <w:tc>
          <w:tcPr>
            <w:tcW w:type="dxa" w:w="49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Residual variance</w:t>
            </w:r>
          </w:p>
        </w:tc>
      </w:tr>
    </w:tbl>
    <w:p>
      <w:pPr>
        <w:spacing w:before="120" w:after="120"/>
      </w:pPr>
    </w:p>
    <w:p>
      <w:r>
        <w:br w:type="page"/>
      </w:r>
    </w:p>
    <w:p>
      <w:pPr>
        <w:pStyle w:val="Heading1"/>
        <w:pBdr>
          <w:bottom w:val="single" w:color="2E6DA4" w:sz="8" w:space="4"/>
        </w:pBdr>
        <w:spacing w:before="320" w:after="160"/>
      </w:pPr>
      <w:r>
        <w:rPr>
          <w:rFonts w:ascii="Arial" w:cs="Arial" w:eastAsia="Arial" w:hAnsi="Arial"/>
          <w:b/>
          <w:bCs/>
          <w:color w:val="1A3A5C"/>
          <w:sz w:val="28"/>
          <w:szCs w:val="28"/>
        </w:rPr>
        <w:t xml:space="preserve">2. Intended Use</w:t>
      </w:r>
    </w:p>
    <w:p>
      <w:pPr>
        <w:pStyle w:val="Heading2"/>
        <w:spacing w:before="220" w:after="100"/>
      </w:pPr>
      <w:r>
        <w:rPr>
          <w:rFonts w:ascii="Arial" w:cs="Arial" w:eastAsia="Arial" w:hAnsi="Arial"/>
          <w:b/>
          <w:bCs/>
          <w:color w:val="2E6DA4"/>
          <w:sz w:val="24"/>
          <w:szCs w:val="24"/>
        </w:rPr>
        <w:t xml:space="preserve">2.1 Primary Use Cases</w:t>
      </w:r>
    </w:p>
    <w:p>
      <w:pPr>
        <w:pStyle w:val="ListParagraph"/>
        <w:numPr>
          <w:ilvl w:val="0"/>
          <w:numId w:val="2"/>
        </w:numPr>
        <w:spacing w:before="40" w:after="40"/>
      </w:pPr>
      <w:r>
        <w:rPr>
          <w:rFonts w:ascii="Arial" w:cs="Arial" w:eastAsia="Arial" w:hAnsi="Arial"/>
          <w:b/>
          <w:bCs/>
          <w:sz w:val="20"/>
          <w:szCs w:val="20"/>
        </w:rPr>
        <w:t xml:space="preserve">Seasonal preparedness planning: </w:t>
      </w:r>
      <w:r>
        <w:rPr>
          <w:rFonts w:ascii="Arial" w:cs="Arial" w:eastAsia="Arial" w:hAnsi="Arial"/>
          <w:sz w:val="20"/>
          <w:szCs w:val="20"/>
        </w:rPr>
        <w:t xml:space="preserve">vaccine stockpiling timelines, healthcare surge capacity, public communication windows.</w:t>
      </w:r>
    </w:p>
    <w:p>
      <w:pPr>
        <w:pStyle w:val="ListParagraph"/>
        <w:numPr>
          <w:ilvl w:val="0"/>
          <w:numId w:val="2"/>
        </w:numPr>
        <w:spacing w:before="40" w:after="40"/>
      </w:pPr>
      <w:r>
        <w:rPr>
          <w:rFonts w:ascii="Arial" w:cs="Arial" w:eastAsia="Arial" w:hAnsi="Arial"/>
          <w:b/>
          <w:bCs/>
          <w:sz w:val="20"/>
          <w:szCs w:val="20"/>
        </w:rPr>
        <w:t xml:space="preserve">Forecast horizon: </w:t>
      </w:r>
      <w:r>
        <w:rPr>
          <w:rFonts w:ascii="Arial" w:cs="Arial" w:eastAsia="Arial" w:hAnsi="Arial"/>
          <w:sz w:val="20"/>
          <w:szCs w:val="20"/>
        </w:rPr>
        <w:t xml:space="preserve">52 weeks ahead, re-issued every 4 weeks during active surveillance seasons.</w:t>
      </w:r>
    </w:p>
    <w:p>
      <w:pPr>
        <w:pStyle w:val="ListParagraph"/>
        <w:numPr>
          <w:ilvl w:val="0"/>
          <w:numId w:val="2"/>
        </w:numPr>
        <w:spacing w:before="40" w:after="40"/>
      </w:pPr>
      <w:r>
        <w:rPr>
          <w:rFonts w:ascii="Arial" w:cs="Arial" w:eastAsia="Arial" w:hAnsi="Arial"/>
          <w:b/>
          <w:bCs/>
          <w:sz w:val="20"/>
          <w:szCs w:val="20"/>
        </w:rPr>
        <w:t xml:space="preserve">Geographic scope: </w:t>
      </w:r>
      <w:r>
        <w:rPr>
          <w:rFonts w:ascii="Arial" w:cs="Arial" w:eastAsia="Arial" w:hAnsi="Arial"/>
          <w:sz w:val="20"/>
          <w:szCs w:val="20"/>
        </w:rPr>
        <w:t xml:space="preserve">Hong Kong SAR territory-wide aggregate only.</w:t>
      </w:r>
    </w:p>
    <w:p>
      <w:pPr>
        <w:spacing w:before="80" w:after="80"/>
      </w:pPr>
    </w:p>
    <w:p>
      <w:pPr>
        <w:pStyle w:val="Heading2"/>
        <w:spacing w:before="220" w:after="100"/>
      </w:pPr>
      <w:r>
        <w:rPr>
          <w:rFonts w:ascii="Arial" w:cs="Arial" w:eastAsia="Arial" w:hAnsi="Arial"/>
          <w:b/>
          <w:bCs/>
          <w:color w:val="2E6DA4"/>
          <w:sz w:val="24"/>
          <w:szCs w:val="24"/>
        </w:rPr>
        <w:t xml:space="preserve">2.2 Out-of-Scope Uses</w:t>
      </w:r>
    </w:p>
    <w:p>
      <w:pPr>
        <w:pStyle w:val="ListParagraph"/>
        <w:numPr>
          <w:ilvl w:val="0"/>
          <w:numId w:val="2"/>
        </w:numPr>
        <w:spacing w:before="40" w:after="40"/>
      </w:pPr>
      <w:r>
        <w:rPr>
          <w:rFonts w:ascii="Arial" w:cs="Arial" w:eastAsia="Arial" w:hAnsi="Arial"/>
          <w:sz w:val="20"/>
          <w:szCs w:val="20"/>
        </w:rPr>
        <w:t xml:space="preserve">Real-time outbreak detection or individual clinical prediction.</w:t>
      </w:r>
    </w:p>
    <w:p>
      <w:pPr>
        <w:pStyle w:val="ListParagraph"/>
        <w:numPr>
          <w:ilvl w:val="0"/>
          <w:numId w:val="2"/>
        </w:numPr>
        <w:spacing w:before="40" w:after="40"/>
      </w:pPr>
      <w:r>
        <w:rPr>
          <w:rFonts w:ascii="Arial" w:cs="Arial" w:eastAsia="Arial" w:hAnsi="Arial"/>
          <w:sz w:val="20"/>
          <w:szCs w:val="20"/>
        </w:rPr>
        <w:t xml:space="preserve">Pandemic influenza or novel strain emergence forecasting.</w:t>
      </w:r>
    </w:p>
    <w:p>
      <w:pPr>
        <w:pStyle w:val="ListParagraph"/>
        <w:numPr>
          <w:ilvl w:val="0"/>
          <w:numId w:val="2"/>
        </w:numPr>
        <w:spacing w:before="40" w:after="40"/>
      </w:pPr>
      <w:r>
        <w:rPr>
          <w:rFonts w:ascii="Arial" w:cs="Arial" w:eastAsia="Arial" w:hAnsi="Arial"/>
          <w:sz w:val="20"/>
          <w:szCs w:val="20"/>
        </w:rPr>
        <w:t xml:space="preserve">Sub-regional (district-level) or age-group disaggregation.</w:t>
      </w:r>
    </w:p>
    <w:p>
      <w:pPr>
        <w:pStyle w:val="ListParagraph"/>
        <w:numPr>
          <w:ilvl w:val="0"/>
          <w:numId w:val="2"/>
        </w:numPr>
        <w:spacing w:before="40" w:after="40"/>
      </w:pPr>
      <w:r>
        <w:rPr>
          <w:rFonts w:ascii="Arial" w:cs="Arial" w:eastAsia="Arial" w:hAnsi="Arial"/>
          <w:sz w:val="20"/>
          <w:szCs w:val="20"/>
        </w:rPr>
        <w:t xml:space="preserve">Any use beyond the 52-week forecast horizon.</w:t>
      </w:r>
    </w:p>
    <w:p>
      <w:pPr>
        <w:spacing w:before="80" w:after="80"/>
      </w:pPr>
    </w:p>
    <w:p>
      <w:pPr>
        <w:pStyle w:val="Heading2"/>
        <w:spacing w:before="220" w:after="100"/>
      </w:pPr>
      <w:r>
        <w:rPr>
          <w:rFonts w:ascii="Arial" w:cs="Arial" w:eastAsia="Arial" w:hAnsi="Arial"/>
          <w:b/>
          <w:bCs/>
          <w:color w:val="2E6DA4"/>
          <w:sz w:val="24"/>
          <w:szCs w:val="24"/>
        </w:rPr>
        <w:t xml:space="preserve">2.3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Metric</w:t>
            </w:r>
          </w:p>
        </w:tc>
        <w:tc>
          <w:tcPr>
            <w:tcW w:type="dxa" w:w="38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Definition</w:t>
            </w:r>
          </w:p>
        </w:tc>
        <w:tc>
          <w:tcPr>
            <w:tcW w:type="dxa" w:w="356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Decision Relevance</w:t>
            </w:r>
          </w:p>
        </w:tc>
      </w:tr>
      <w:tr>
        <w:tc>
          <w:tcPr>
            <w:tcW w:type="dxa" w:w="2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Peak timing error (wks)</w:t>
            </w:r>
          </w:p>
        </w:tc>
        <w:tc>
          <w:tcPr>
            <w:tcW w:type="dxa" w:w="3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|Forecast peak week − Observed peak week|</w:t>
            </w:r>
          </w:p>
        </w:tc>
        <w:tc>
          <w:tcPr>
            <w:tcW w:type="dxa" w:w="35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Determines resource deployment timing</w:t>
            </w:r>
          </w:p>
        </w:tc>
      </w:tr>
      <w:tr>
        <w:tc>
          <w:tcPr>
            <w:tcW w:type="dxa" w:w="20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Peak magnitude error (%)</w:t>
            </w:r>
          </w:p>
        </w:tc>
        <w:tc>
          <w:tcPr>
            <w:tcW w:type="dxa" w:w="38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|(Forecast − Observed)| / Observed × 100</w:t>
            </w:r>
          </w:p>
        </w:tc>
        <w:tc>
          <w:tcPr>
            <w:tcW w:type="dxa" w:w="35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Determines scale of surge planning</w:t>
            </w:r>
          </w:p>
        </w:tc>
      </w:tr>
      <w:tr>
        <w:tc>
          <w:tcPr>
            <w:tcW w:type="dxa" w:w="2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MAE (ILI+ units)</w:t>
            </w:r>
          </w:p>
        </w:tc>
        <w:tc>
          <w:tcPr>
            <w:tcW w:type="dxa" w:w="3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Mean |forecast − observed| all weeks</w:t>
            </w:r>
          </w:p>
        </w:tc>
        <w:tc>
          <w:tcPr>
            <w:tcW w:type="dxa" w:w="35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Overall tracking accuracy</w:t>
            </w:r>
          </w:p>
        </w:tc>
      </w:tr>
      <w:tr>
        <w:tc>
          <w:tcPr>
            <w:tcW w:type="dxa" w:w="20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80% PI coverage (%)</w:t>
            </w:r>
          </w:p>
        </w:tc>
        <w:tc>
          <w:tcPr>
            <w:tcW w:type="dxa" w:w="38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of actuals inside the 80% PI</w:t>
            </w:r>
          </w:p>
        </w:tc>
        <w:tc>
          <w:tcPr>
            <w:tcW w:type="dxa" w:w="35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Interval calibration check</w:t>
            </w:r>
          </w:p>
        </w:tc>
      </w:tr>
      <w:tr>
        <w:tc>
          <w:tcPr>
            <w:tcW w:type="dxa" w:w="2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95% PI coverage (%)</w:t>
            </w:r>
          </w:p>
        </w:tc>
        <w:tc>
          <w:tcPr>
            <w:tcW w:type="dxa" w:w="3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of actuals inside the 95% PI</w:t>
            </w:r>
          </w:p>
        </w:tc>
        <w:tc>
          <w:tcPr>
            <w:tcW w:type="dxa" w:w="35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Conservative planning bound</w:t>
            </w:r>
          </w:p>
        </w:tc>
      </w:tr>
      <w:tr>
        <w:tc>
          <w:tcPr>
            <w:tcW w:type="dxa" w:w="20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Ljung-Box p-value</w:t>
            </w:r>
          </w:p>
        </w:tc>
        <w:tc>
          <w:tcPr>
            <w:tcW w:type="dxa" w:w="38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Test for residual autocorrelation</w:t>
            </w:r>
          </w:p>
        </w:tc>
        <w:tc>
          <w:tcPr>
            <w:tcW w:type="dxa" w:w="35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Model adequacy check</w:t>
            </w:r>
          </w:p>
        </w:tc>
      </w:tr>
    </w:tbl>
    <w:p>
      <w:pPr>
        <w:spacing w:before="120" w:after="120"/>
      </w:pPr>
    </w:p>
    <w:p>
      <w:r>
        <w:br w:type="page"/>
      </w:r>
    </w:p>
    <w:p>
      <w:pPr>
        <w:pStyle w:val="Heading1"/>
        <w:pBdr>
          <w:bottom w:val="single" w:color="2E6DA4" w:sz="8" w:space="4"/>
        </w:pBdr>
        <w:spacing w:before="320" w:after="160"/>
      </w:pPr>
      <w:r>
        <w:rPr>
          <w:rFonts w:ascii="Arial" w:cs="Arial" w:eastAsia="Arial" w:hAnsi="Arial"/>
          <w:b/>
          <w:bCs/>
          <w:color w:val="1A3A5C"/>
          <w:sz w:val="28"/>
          <w:szCs w:val="28"/>
        </w:rPr>
        <w:t xml:space="preserve">3. Training Data</w:t>
      </w:r>
    </w:p>
    <w:p>
      <w:pPr>
        <w:pStyle w:val="Heading2"/>
        <w:spacing w:before="220" w:after="100"/>
      </w:pPr>
      <w:r>
        <w:rPr>
          <w:rFonts w:ascii="Arial" w:cs="Arial" w:eastAsia="Arial" w:hAnsi="Arial"/>
          <w:b/>
          <w:bCs/>
          <w:color w:val="2E6DA4"/>
          <w:sz w:val="24"/>
          <w:szCs w:val="24"/>
        </w:rPr>
        <w:t xml:space="preserve">3.1 Primary Surveillance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Attribute</w:t>
            </w:r>
          </w:p>
        </w:tc>
        <w:tc>
          <w:tcPr>
            <w:tcW w:type="dxa" w:w="696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Detail</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Source</w:t>
            </w:r>
          </w:p>
        </w:tc>
        <w:tc>
          <w:tcPr>
            <w:tcW w:type="dxa" w:w="69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Hong Kong Centre for Health Protection (CHP) Weekly Influenza Surveillance</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URL</w:t>
            </w:r>
          </w:p>
        </w:tc>
        <w:tc>
          <w:tcPr>
            <w:tcW w:type="dxa" w:w="69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www.chp.gov.hk</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Date range</w:t>
            </w:r>
          </w:p>
        </w:tc>
        <w:tc>
          <w:tcPr>
            <w:tcW w:type="dxa" w:w="69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5 January 2019 to 14 February 2026  (n = 296 weeks)</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Target variable</w:t>
            </w:r>
          </w:p>
        </w:tc>
        <w:tc>
          <w:tcPr>
            <w:tcW w:type="dxa" w:w="69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ILI+  =  ili_pmp × pos_total</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Reporting lag</w:t>
            </w:r>
          </w:p>
        </w:tc>
        <w:tc>
          <w:tcPr>
            <w:tcW w:type="dxa" w:w="69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Approximately 1–2 weeks</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Training split</w:t>
            </w:r>
          </w:p>
        </w:tc>
        <w:tc>
          <w:tcPr>
            <w:tcW w:type="dxa" w:w="69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244 weeks for training; remaining for evaluation</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COVID weeks imputed</w:t>
            </w:r>
          </w:p>
        </w:tc>
        <w:tc>
          <w:tcPr>
            <w:tcW w:type="dxa" w:w="69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54 weeks (1 Apr 2020 – 30 Sep 2022) via na_seadec</w:t>
            </w:r>
          </w:p>
        </w:tc>
      </w:tr>
    </w:tbl>
    <w:p>
      <w:pPr>
        <w:spacing w:before="120" w:after="120"/>
      </w:pPr>
    </w:p>
    <w:p>
      <w:pPr>
        <w:pStyle w:val="Heading2"/>
        <w:spacing w:before="220" w:after="100"/>
      </w:pPr>
      <w:r>
        <w:rPr>
          <w:rFonts w:ascii="Arial" w:cs="Arial" w:eastAsia="Arial" w:hAnsi="Arial"/>
          <w:b/>
          <w:bCs/>
          <w:color w:val="2E6DA4"/>
          <w:sz w:val="24"/>
          <w:szCs w:val="24"/>
        </w:rPr>
        <w:t xml:space="preserve">3.2 Environmental Regressors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Regressor</w:t>
            </w:r>
          </w:p>
        </w:tc>
        <w:tc>
          <w:tcPr>
            <w:tcW w:type="dxa" w:w="34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Source</w:t>
            </w:r>
          </w:p>
        </w:tc>
        <w:tc>
          <w:tcPr>
            <w:tcW w:type="dxa" w:w="356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Rationale</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Temperature (°C)</w:t>
            </w:r>
          </w:p>
        </w:tc>
        <w:tc>
          <w:tcPr>
            <w:tcW w:type="dxa" w:w="3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HKO 30-yr normals 1991–2020</w:t>
            </w:r>
          </w:p>
        </w:tc>
        <w:tc>
          <w:tcPr>
            <w:tcW w:type="dxa" w:w="35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Cold conditions favour influenza transmission</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Abs. humidity (g/m³)</w:t>
            </w:r>
          </w:p>
        </w:tc>
        <w:tc>
          <w:tcPr>
            <w:tcW w:type="dxa" w:w="3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HKO 30-yr normals 1991–2020</w:t>
            </w:r>
          </w:p>
        </w:tc>
        <w:tc>
          <w:tcPr>
            <w:tcW w:type="dxa" w:w="35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Low AH increases viral survival</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H3N2 strain fraction</w:t>
            </w:r>
          </w:p>
        </w:tc>
        <w:tc>
          <w:tcPr>
            <w:tcW w:type="dxa" w:w="3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CHP seasonal reports (tested)</w:t>
            </w:r>
          </w:p>
        </w:tc>
        <w:tc>
          <w:tcPr>
            <w:tcW w:type="dxa" w:w="35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H3N2 seasons larger peaks (AIC favours exclusion)</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Vaccination coverage</w:t>
            </w:r>
          </w:p>
        </w:tc>
        <w:tc>
          <w:tcPr>
            <w:tcW w:type="dxa" w:w="3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CHP annual reports (tested)</w:t>
            </w:r>
          </w:p>
        </w:tc>
        <w:tc>
          <w:tcPr>
            <w:tcW w:type="dxa" w:w="35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Higher uptake → lower ILI+ (AIC favours exclusion)</w:t>
            </w:r>
          </w:p>
        </w:tc>
      </w:tr>
    </w:tbl>
    <w:p>
      <w:pPr>
        <w:spacing w:before="80" w:after="80"/>
      </w:pPr>
    </w:p>
    <w:p>
      <w:pPr>
        <w:spacing w:before="60" w:after="60"/>
        <w:jc w:val="both"/>
      </w:pPr>
      <w:r>
        <w:rPr>
          <w:rFonts w:ascii="Arial" w:cs="Arial" w:eastAsia="Arial" w:hAnsi="Arial"/>
          <w:b/>
          <w:bCs/>
          <w:sz w:val="20"/>
          <w:szCs w:val="20"/>
        </w:rPr>
        <w:t xml:space="preserve">Note: </w:t>
      </w:r>
      <w:r>
        <w:rPr>
          <w:rFonts w:ascii="Arial" w:cs="Arial" w:eastAsia="Arial" w:hAnsi="Arial"/>
          <w:sz w:val="20"/>
          <w:szCs w:val="20"/>
        </w:rPr>
        <w:t xml:space="preserve">H3N2 fraction and vaccination coverage were tested in Step 5. Both showed correct epidemiological signs (β_H3N2=+0.00016, β_vacc=−0.00008). However ΔAIC=−2.18 and ΔBIC=−8.69 favour the parsimonious 2-regressor model at this training data size.</w:t>
      </w:r>
    </w:p>
    <w:p>
      <w:pPr>
        <w:spacing w:before="120" w:after="120"/>
      </w:pPr>
    </w:p>
    <w:p>
      <w:r>
        <w:br w:type="page"/>
      </w:r>
    </w:p>
    <w:p>
      <w:pPr>
        <w:pStyle w:val="Heading1"/>
        <w:pBdr>
          <w:bottom w:val="single" w:color="2E6DA4" w:sz="8" w:space="4"/>
        </w:pBdr>
        <w:spacing w:before="320" w:after="160"/>
      </w:pPr>
      <w:r>
        <w:rPr>
          <w:rFonts w:ascii="Arial" w:cs="Arial" w:eastAsia="Arial" w:hAnsi="Arial"/>
          <w:b/>
          <w:bCs/>
          <w:color w:val="1A3A5C"/>
          <w:sz w:val="28"/>
          <w:szCs w:val="28"/>
        </w:rPr>
        <w:t xml:space="preserve">4. Hyperparameters and Configuration</w:t>
      </w:r>
    </w:p>
    <w:p>
      <w:pPr>
        <w:pStyle w:val="Heading2"/>
        <w:spacing w:before="220" w:after="100"/>
      </w:pPr>
      <w:r>
        <w:rPr>
          <w:rFonts w:ascii="Arial" w:cs="Arial" w:eastAsia="Arial" w:hAnsi="Arial"/>
          <w:b/>
          <w:bCs/>
          <w:color w:val="2E6DA4"/>
          <w:sz w:val="24"/>
          <w:szCs w:val="24"/>
        </w:rPr>
        <w:t xml:space="preserve">4.1 Model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Hyperparameter</w:t>
            </w:r>
          </w:p>
        </w:tc>
        <w:tc>
          <w:tcPr>
            <w:tcW w:type="dxa" w:w="18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Value</w:t>
            </w:r>
          </w:p>
        </w:tc>
        <w:tc>
          <w:tcPr>
            <w:tcW w:type="dxa" w:w="476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Selection Method</w:t>
            </w:r>
          </w:p>
        </w:tc>
      </w:tr>
      <w:tr>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AR order (p)</w:t>
            </w:r>
          </w:p>
        </w:tc>
        <w:tc>
          <w:tcPr>
            <w:tcW w:type="dxa" w:w="1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1</w:t>
            </w:r>
          </w:p>
        </w:tc>
        <w:tc>
          <w:tcPr>
            <w:tcW w:type="dxa" w:w="4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PACF analysis; AIC comparison across p∈{0,1,2}</w:t>
            </w:r>
          </w:p>
        </w:tc>
      </w:tr>
      <w:tr>
        <w:tc>
          <w:tcPr>
            <w:tcW w:type="dxa" w:w="28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MA order (q)</w:t>
            </w:r>
          </w:p>
        </w:tc>
        <w:tc>
          <w:tcPr>
            <w:tcW w:type="dxa" w:w="18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1</w:t>
            </w:r>
          </w:p>
        </w:tc>
        <w:tc>
          <w:tcPr>
            <w:tcW w:type="dxa" w:w="4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ACF analysis; Ljung-Box p=0.68 confirms adequacy</w:t>
            </w:r>
          </w:p>
        </w:tc>
      </w:tr>
      <w:tr>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Seasonal diff. order (D)</w:t>
            </w:r>
          </w:p>
        </w:tc>
        <w:tc>
          <w:tcPr>
            <w:tcW w:type="dxa" w:w="1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1</w:t>
            </w:r>
          </w:p>
        </w:tc>
        <w:tc>
          <w:tcPr>
            <w:tcW w:type="dxa" w:w="4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Removes annual seasonal nonstationarity</w:t>
            </w:r>
          </w:p>
        </w:tc>
      </w:tr>
      <w:tr>
        <w:tc>
          <w:tcPr>
            <w:tcW w:type="dxa" w:w="28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Seasonal period (S)</w:t>
            </w:r>
          </w:p>
        </w:tc>
        <w:tc>
          <w:tcPr>
            <w:tcW w:type="dxa" w:w="18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52 weeks</w:t>
            </w:r>
          </w:p>
        </w:tc>
        <w:tc>
          <w:tcPr>
            <w:tcW w:type="dxa" w:w="4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Weekly data, annual influenza cycle</w:t>
            </w:r>
          </w:p>
        </w:tc>
      </w:tr>
      <w:tr>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Optimiser</w:t>
            </w:r>
          </w:p>
        </w:tc>
        <w:tc>
          <w:tcPr>
            <w:tcW w:type="dxa" w:w="1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L-BFGS-B</w:t>
            </w:r>
          </w:p>
        </w:tc>
        <w:tc>
          <w:tcPr>
            <w:tcW w:type="dxa" w:w="4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Bounded, efficient for ARIMA MLE</w:t>
            </w:r>
          </w:p>
        </w:tc>
      </w:tr>
      <w:tr>
        <w:tc>
          <w:tcPr>
            <w:tcW w:type="dxa" w:w="28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Max iterations</w:t>
            </w:r>
          </w:p>
        </w:tc>
        <w:tc>
          <w:tcPr>
            <w:tcW w:type="dxa" w:w="18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3000</w:t>
            </w:r>
          </w:p>
        </w:tc>
        <w:tc>
          <w:tcPr>
            <w:tcW w:type="dxa" w:w="4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Sufficient for convergence</w:t>
            </w:r>
          </w:p>
        </w:tc>
      </w:tr>
      <w:tr>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Convergence tolerance</w:t>
            </w:r>
          </w:p>
        </w:tc>
        <w:tc>
          <w:tcPr>
            <w:tcW w:type="dxa" w:w="1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1×10⁻¹²</w:t>
            </w:r>
          </w:p>
        </w:tc>
        <w:tc>
          <w:tcPr>
            <w:tcW w:type="dxa" w:w="4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Float64 precision</w:t>
            </w:r>
          </w:p>
        </w:tc>
      </w:tr>
      <w:tr>
        <w:tc>
          <w:tcPr>
            <w:tcW w:type="dxa" w:w="28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Bootstrap draws (PI)</w:t>
            </w:r>
          </w:p>
        </w:tc>
        <w:tc>
          <w:tcPr>
            <w:tcW w:type="dxa" w:w="18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500</w:t>
            </w:r>
          </w:p>
        </w:tc>
        <w:tc>
          <w:tcPr>
            <w:tcW w:type="dxa" w:w="4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Stable quantile estimates</w:t>
            </w:r>
          </w:p>
        </w:tc>
      </w:tr>
      <w:tr>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Random seed</w:t>
            </w:r>
          </w:p>
        </w:tc>
        <w:tc>
          <w:tcPr>
            <w:tcW w:type="dxa" w:w="1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42</w:t>
            </w:r>
          </w:p>
        </w:tc>
        <w:tc>
          <w:tcPr>
            <w:tcW w:type="dxa" w:w="4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Set globally for all stochastic steps</w:t>
            </w:r>
          </w:p>
        </w:tc>
      </w:tr>
    </w:tbl>
    <w:p>
      <w:pPr>
        <w:spacing w:before="120" w:after="120"/>
      </w:pPr>
    </w:p>
    <w:p>
      <w:pPr>
        <w:pStyle w:val="Heading2"/>
        <w:spacing w:before="220" w:after="100"/>
      </w:pPr>
      <w:r>
        <w:rPr>
          <w:rFonts w:ascii="Arial" w:cs="Arial" w:eastAsia="Arial" w:hAnsi="Arial"/>
          <w:b/>
          <w:bCs/>
          <w:color w:val="2E6DA4"/>
          <w:sz w:val="24"/>
          <w:szCs w:val="24"/>
        </w:rPr>
        <w:t xml:space="preserve">4.2 Data Processing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Parameter</w:t>
            </w:r>
          </w:p>
        </w:tc>
        <w:tc>
          <w:tcPr>
            <w:tcW w:type="dxa" w:w="576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Value</w:t>
            </w:r>
          </w:p>
        </w:tc>
      </w:tr>
      <w:tr>
        <w:tc>
          <w:tcPr>
            <w:tcW w:type="dxa" w:w="36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COVID suppression start</w:t>
            </w:r>
          </w:p>
        </w:tc>
        <w:tc>
          <w:tcPr>
            <w:tcW w:type="dxa" w:w="5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1 April 2020</w:t>
            </w:r>
          </w:p>
        </w:tc>
      </w:tr>
      <w:tr>
        <w:tc>
          <w:tcPr>
            <w:tcW w:type="dxa" w:w="36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COVID suppression end</w:t>
            </w:r>
          </w:p>
        </w:tc>
        <w:tc>
          <w:tcPr>
            <w:tcW w:type="dxa" w:w="5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30 September 2022</w:t>
            </w:r>
          </w:p>
        </w:tc>
      </w:tr>
      <w:tr>
        <w:tc>
          <w:tcPr>
            <w:tcW w:type="dxa" w:w="36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Suppression threshold</w:t>
            </w:r>
          </w:p>
        </w:tc>
        <w:tc>
          <w:tcPr>
            <w:tcW w:type="dxa" w:w="5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5% of pre-COVID ILI+ median</w:t>
            </w:r>
          </w:p>
        </w:tc>
      </w:tr>
      <w:tr>
        <w:tc>
          <w:tcPr>
            <w:tcW w:type="dxa" w:w="36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Imputation method</w:t>
            </w:r>
          </w:p>
        </w:tc>
        <w:tc>
          <w:tcPr>
            <w:tcW w:type="dxa" w:w="5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Seasonal decomposition + Kalman (na_seadec)</w:t>
            </w:r>
          </w:p>
        </w:tc>
      </w:tr>
      <w:tr>
        <w:tc>
          <w:tcPr>
            <w:tcW w:type="dxa" w:w="36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Regressor normalisation</w:t>
            </w:r>
          </w:p>
        </w:tc>
        <w:tc>
          <w:tcPr>
            <w:tcW w:type="dxa" w:w="5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Zero mean, unit variance (z-score)</w:t>
            </w:r>
          </w:p>
        </w:tc>
      </w:tr>
      <w:tr>
        <w:tc>
          <w:tcPr>
            <w:tcW w:type="dxa" w:w="36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Training window</w:t>
            </w:r>
          </w:p>
        </w:tc>
        <w:tc>
          <w:tcPr>
            <w:tcW w:type="dxa" w:w="5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244 weeks (2019-01-05 to 2025-02-15)</w:t>
            </w:r>
          </w:p>
        </w:tc>
      </w:tr>
      <w:tr>
        <w:tc>
          <w:tcPr>
            <w:tcW w:type="dxa" w:w="36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Forecast horizon</w:t>
            </w:r>
          </w:p>
        </w:tc>
        <w:tc>
          <w:tcPr>
            <w:tcW w:type="dxa" w:w="5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52 weeks</w:t>
            </w:r>
          </w:p>
        </w:tc>
      </w:tr>
      <w:tr>
        <w:tc>
          <w:tcPr>
            <w:tcW w:type="dxa" w:w="36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Min CV training window</w:t>
            </w:r>
          </w:p>
        </w:tc>
        <w:tc>
          <w:tcPr>
            <w:tcW w:type="dxa" w:w="5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156 weeks (3 years)</w:t>
            </w:r>
          </w:p>
        </w:tc>
      </w:tr>
      <w:tr>
        <w:tc>
          <w:tcPr>
            <w:tcW w:type="dxa" w:w="36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CV step size</w:t>
            </w:r>
          </w:p>
        </w:tc>
        <w:tc>
          <w:tcPr>
            <w:tcW w:type="dxa" w:w="5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26 weeks (6 months)</w:t>
            </w:r>
          </w:p>
        </w:tc>
      </w:tr>
    </w:tbl>
    <w:p>
      <w:pPr>
        <w:spacing w:before="120" w:after="120"/>
      </w:pPr>
    </w:p>
    <w:p>
      <w:pPr>
        <w:pStyle w:val="Heading2"/>
        <w:spacing w:before="220" w:after="100"/>
      </w:pPr>
      <w:r>
        <w:rPr>
          <w:rFonts w:ascii="Arial" w:cs="Arial" w:eastAsia="Arial" w:hAnsi="Arial"/>
          <w:b/>
          <w:bCs/>
          <w:color w:val="2E6DA4"/>
          <w:sz w:val="24"/>
          <w:szCs w:val="24"/>
        </w:rPr>
        <w:t xml:space="preserve">4.3 Configuration File (hyperparameters.json excerpt)</w:t>
      </w:r>
    </w:p>
    <w:p>
      <w:pPr>
        <w:spacing w:before="60" w:after="120"/>
      </w:pPr>
      <w:r>
        <w:rPr>
          <w:rFonts w:ascii="Courier New" w:cs="Courier New" w:eastAsia="Courier New" w:hAnsi="Courier New"/>
          <w:color w:val="2E4057"/>
          <w:sz w:val="18"/>
          <w:szCs w:val="18"/>
        </w:rPr>
        <w:t xml:space="preserve">{ "model": "ARIMAX", "order": [1,0,1], "seasonal_diff_period": 52,
  "regressors": ["temp_climatological","abs_humidity_climatological"],
  "covid_window": {"start":"2020-04-01","end":"2022-09-30"},
  "bootstrap_draws": 500, "random_seed": 42, "training_weeks": 244 }</w:t>
      </w:r>
    </w:p>
    <w:p>
      <w:r>
        <w:br w:type="page"/>
      </w:r>
    </w:p>
    <w:p>
      <w:pPr>
        <w:pStyle w:val="Heading1"/>
        <w:pBdr>
          <w:bottom w:val="single" w:color="2E6DA4" w:sz="8" w:space="4"/>
        </w:pBdr>
        <w:spacing w:before="320" w:after="160"/>
      </w:pPr>
      <w:r>
        <w:rPr>
          <w:rFonts w:ascii="Arial" w:cs="Arial" w:eastAsia="Arial" w:hAnsi="Arial"/>
          <w:b/>
          <w:bCs/>
          <w:color w:val="1A3A5C"/>
          <w:sz w:val="28"/>
          <w:szCs w:val="28"/>
        </w:rPr>
        <w:t xml:space="preserve">5. Quantitative Analysis — v1.0 vs v2.0</w:t>
      </w:r>
    </w:p>
    <w:p>
      <w:pPr>
        <w:pStyle w:val="Heading2"/>
        <w:spacing w:before="220" w:after="100"/>
      </w:pPr>
      <w:r>
        <w:rPr>
          <w:rFonts w:ascii="Arial" w:cs="Arial" w:eastAsia="Arial" w:hAnsi="Arial"/>
          <w:b/>
          <w:bCs/>
          <w:color w:val="2E6DA4"/>
          <w:sz w:val="24"/>
          <w:szCs w:val="24"/>
        </w:rPr>
        <w:t xml:space="preserve">5.1 Primary Comparison Table</w:t>
      </w:r>
    </w:p>
    <w:p>
      <w:pPr>
        <w:spacing w:before="60" w:after="60"/>
        <w:jc w:val="both"/>
      </w:pPr>
      <w:r>
        <w:rPr>
          <w:rFonts w:ascii="Arial" w:cs="Arial" w:eastAsia="Arial" w:hAnsi="Arial"/>
          <w:sz w:val="20"/>
          <w:szCs w:val="20"/>
        </w:rPr>
        <w:t xml:space="preserve">Where v1.0 metrics were not computed, this is noted explicitly. The improvement column uses ✓ for confirmed improvements and — for neutral/informational entries.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760"/>
      </w:tblGrid>
      <w:tr>
        <w:tc>
          <w:tcPr>
            <w:tcW w:type="dxa" w:w="32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Metric</w:t>
            </w:r>
          </w:p>
        </w:tc>
        <w:tc>
          <w:tcPr>
            <w:tcW w:type="dxa" w:w="22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v1.0</w:t>
            </w:r>
          </w:p>
        </w:tc>
        <w:tc>
          <w:tcPr>
            <w:tcW w:type="dxa" w:w="22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v2.0</w:t>
            </w:r>
          </w:p>
        </w:tc>
        <w:tc>
          <w:tcPr>
            <w:tcW w:type="dxa" w:w="176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Δ Change</w:t>
            </w:r>
          </w:p>
        </w:tc>
      </w:tr>
      <w:tr>
        <w:tc>
          <w:tcPr>
            <w:tcW w:type="dxa" w:w="3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COVID gap treatment</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None (zeros fed)</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54 wks imputed</w:t>
            </w:r>
          </w:p>
        </w:tc>
        <w:tc>
          <w:tcPr>
            <w:tcW w:type="dxa" w:w="1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Fixed</w:t>
            </w:r>
          </w:p>
        </w:tc>
      </w:tr>
      <w:tr>
        <w:tc>
          <w:tcPr>
            <w:tcW w:type="dxa" w:w="3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Model selection</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auto.arima (opaque)</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9-candidate AIC grid</w:t>
            </w:r>
          </w:p>
        </w:tc>
        <w:tc>
          <w:tcPr>
            <w:tcW w:type="dxa" w:w="1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Documented</w:t>
            </w:r>
          </w:p>
        </w:tc>
      </w:tr>
      <w:tr>
        <w:tc>
          <w:tcPr>
            <w:tcW w:type="dxa" w:w="3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Ljung-Box p-value</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Not computed</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0.677</w:t>
            </w:r>
          </w:p>
        </w:tc>
        <w:tc>
          <w:tcPr>
            <w:tcW w:type="dxa" w:w="1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Passes WN test</w:t>
            </w:r>
          </w:p>
        </w:tc>
      </w:tr>
      <w:tr>
        <w:tc>
          <w:tcPr>
            <w:tcW w:type="dxa" w:w="3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Residual AR(1)</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Not computed</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+0.0037</w:t>
            </w:r>
          </w:p>
        </w:tc>
        <w:tc>
          <w:tcPr>
            <w:tcW w:type="dxa" w:w="1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≈0</w:t>
            </w:r>
          </w:p>
        </w:tc>
      </w:tr>
      <w:tr>
        <w:tc>
          <w:tcPr>
            <w:tcW w:type="dxa" w:w="3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Residual σ²</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Not computed</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5.44×10⁻⁶</w:t>
            </w:r>
          </w:p>
        </w:tc>
        <w:tc>
          <w:tcPr>
            <w:tcW w:type="dxa" w:w="1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w:t>
            </w:r>
          </w:p>
        </w:tc>
      </w:tr>
      <w:tr>
        <w:tc>
          <w:tcPr>
            <w:tcW w:type="dxa" w:w="3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AIC</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Not computed</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−1772.62</w:t>
            </w:r>
          </w:p>
        </w:tc>
        <w:tc>
          <w:tcPr>
            <w:tcW w:type="dxa" w:w="1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w:t>
            </w:r>
          </w:p>
        </w:tc>
      </w:tr>
      <w:tr>
        <w:tc>
          <w:tcPr>
            <w:tcW w:type="dxa" w:w="3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BIC</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Not computed</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−1756.33</w:t>
            </w:r>
          </w:p>
        </w:tc>
        <w:tc>
          <w:tcPr>
            <w:tcW w:type="dxa" w:w="1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w:t>
            </w:r>
          </w:p>
        </w:tc>
      </w:tr>
      <w:tr>
        <w:tc>
          <w:tcPr>
            <w:tcW w:type="dxa" w:w="3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Cross-validation</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Not performed</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4 windows, 52-wk</w:t>
            </w:r>
          </w:p>
        </w:tc>
        <w:tc>
          <w:tcPr>
            <w:tcW w:type="dxa" w:w="1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Added</w:t>
            </w:r>
          </w:p>
        </w:tc>
      </w:tr>
      <w:tr>
        <w:tc>
          <w:tcPr>
            <w:tcW w:type="dxa" w:w="3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Mean MAE (ILI+)</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Not computed</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0.00535</w:t>
            </w:r>
          </w:p>
        </w:tc>
        <w:tc>
          <w:tcPr>
            <w:tcW w:type="dxa" w:w="1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Established</w:t>
            </w:r>
          </w:p>
        </w:tc>
      </w:tr>
      <w:tr>
        <w:tc>
          <w:tcPr>
            <w:tcW w:type="dxa" w:w="3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Mean |peak timing error|</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Not computed</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12.5 weeks</w:t>
            </w:r>
          </w:p>
        </w:tc>
        <w:tc>
          <w:tcPr>
            <w:tcW w:type="dxa" w:w="1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Benchmarked</w:t>
            </w:r>
          </w:p>
        </w:tc>
      </w:tr>
      <w:tr>
        <w:tc>
          <w:tcPr>
            <w:tcW w:type="dxa" w:w="3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Peak timing ≤2 wks (%)</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Not computed</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25% of windows</w:t>
            </w:r>
          </w:p>
        </w:tc>
        <w:tc>
          <w:tcPr>
            <w:tcW w:type="dxa" w:w="1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Benchmarked</w:t>
            </w:r>
          </w:p>
        </w:tc>
      </w:tr>
      <w:tr>
        <w:tc>
          <w:tcPr>
            <w:tcW w:type="dxa" w:w="3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Mean |peak mag. error|</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Not computed</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46.7%</w:t>
            </w:r>
          </w:p>
        </w:tc>
        <w:tc>
          <w:tcPr>
            <w:tcW w:type="dxa" w:w="1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Documented</w:t>
            </w:r>
          </w:p>
        </w:tc>
      </w:tr>
      <w:tr>
        <w:tc>
          <w:tcPr>
            <w:tcW w:type="dxa" w:w="3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80% PI actual coverage</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N/A (Gaussian PI)</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98.1%</w:t>
            </w:r>
          </w:p>
        </w:tc>
        <w:tc>
          <w:tcPr>
            <w:tcW w:type="dxa" w:w="1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Bootstrap PI</w:t>
            </w:r>
          </w:p>
        </w:tc>
      </w:tr>
      <w:tr>
        <w:tc>
          <w:tcPr>
            <w:tcW w:type="dxa" w:w="3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95% PI actual coverage</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N/A (Gaussian PI)</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100.0%</w:t>
            </w:r>
          </w:p>
        </w:tc>
        <w:tc>
          <w:tcPr>
            <w:tcW w:type="dxa" w:w="1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Bootstrap PI</w:t>
            </w:r>
          </w:p>
        </w:tc>
      </w:tr>
      <w:tr>
        <w:tc>
          <w:tcPr>
            <w:tcW w:type="dxa" w:w="3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MAPE reported</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Yes (unreliable)</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 (dropped)</w:t>
            </w:r>
          </w:p>
        </w:tc>
        <w:tc>
          <w:tcPr>
            <w:tcW w:type="dxa" w:w="1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Corrected</w:t>
            </w:r>
          </w:p>
        </w:tc>
      </w:tr>
      <w:tr>
        <w:tc>
          <w:tcPr>
            <w:tcW w:type="dxa" w:w="3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External regressors</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None</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Temp + AH (HKO)</w:t>
            </w:r>
          </w:p>
        </w:tc>
        <w:tc>
          <w:tcPr>
            <w:tcW w:type="dxa" w:w="1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Added</w:t>
            </w:r>
          </w:p>
        </w:tc>
      </w:tr>
      <w:tr>
        <w:tc>
          <w:tcPr>
            <w:tcW w:type="dxa" w:w="3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Sensitivity: H3N2 + vacc</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Not tested</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Tested; AIC ↑ 2.18</w:t>
            </w:r>
          </w:p>
        </w:tc>
        <w:tc>
          <w:tcPr>
            <w:tcW w:type="dxa" w:w="1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Transparent</w:t>
            </w:r>
          </w:p>
        </w:tc>
      </w:tr>
    </w:tbl>
    <w:p>
      <w:pPr>
        <w:spacing w:before="100" w:after="100"/>
      </w:pPr>
    </w:p>
    <w:p>
      <w:pPr>
        <w:pStyle w:val="Heading2"/>
        <w:spacing w:before="220" w:after="100"/>
      </w:pPr>
      <w:r>
        <w:rPr>
          <w:rFonts w:ascii="Arial" w:cs="Arial" w:eastAsia="Arial" w:hAnsi="Arial"/>
          <w:b/>
          <w:bCs/>
          <w:color w:val="2E6DA4"/>
          <w:sz w:val="24"/>
          <w:szCs w:val="24"/>
        </w:rPr>
        <w:t xml:space="preserve">5.2 Forecast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Output</w:t>
            </w:r>
          </w:p>
        </w:tc>
        <w:tc>
          <w:tcPr>
            <w:tcW w:type="dxa" w:w="28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v1.0</w:t>
            </w:r>
          </w:p>
        </w:tc>
        <w:tc>
          <w:tcPr>
            <w:tcW w:type="dxa" w:w="376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v2.0</w:t>
            </w:r>
          </w:p>
        </w:tc>
      </w:tr>
      <w:tr>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Projected peak date</w:t>
            </w:r>
          </w:p>
        </w:tc>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26 Sep 2026</w:t>
            </w:r>
          </w:p>
        </w:tc>
        <w:tc>
          <w:tcPr>
            <w:tcW w:type="dxa" w:w="3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30 Mar 2025</w:t>
            </w:r>
          </w:p>
        </w:tc>
      </w:tr>
      <w:tr>
        <w:tc>
          <w:tcPr>
            <w:tcW w:type="dxa" w:w="28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Projected peak ILI+</w:t>
            </w:r>
          </w:p>
        </w:tc>
        <w:tc>
          <w:tcPr>
            <w:tcW w:type="dxa" w:w="28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0.38% (ILI+)</w:t>
            </w:r>
          </w:p>
        </w:tc>
        <w:tc>
          <w:tcPr>
            <w:tcW w:type="dxa" w:w="3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0.02100</w:t>
            </w:r>
          </w:p>
        </w:tc>
      </w:tr>
      <w:tr>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80% PI at peak</w:t>
            </w:r>
          </w:p>
        </w:tc>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Not computed</w:t>
            </w:r>
          </w:p>
        </w:tc>
        <w:tc>
          <w:tcPr>
            <w:tcW w:type="dxa" w:w="3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[0.01006, 0.03232]</w:t>
            </w:r>
          </w:p>
        </w:tc>
      </w:tr>
      <w:tr>
        <w:tc>
          <w:tcPr>
            <w:tcW w:type="dxa" w:w="28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95% PI at peak</w:t>
            </w:r>
          </w:p>
        </w:tc>
        <w:tc>
          <w:tcPr>
            <w:tcW w:type="dxa" w:w="28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Not computed</w:t>
            </w:r>
          </w:p>
        </w:tc>
        <w:tc>
          <w:tcPr>
            <w:tcW w:type="dxa" w:w="3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[0.00596, 0.03670]</w:t>
            </w:r>
          </w:p>
        </w:tc>
      </w:tr>
      <w:tr>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Obs. winter 2026 peak</w:t>
            </w:r>
          </w:p>
        </w:tc>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N/A (future at v1.0 time)</w:t>
            </w:r>
          </w:p>
        </w:tc>
        <w:tc>
          <w:tcPr>
            <w:tcW w:type="dxa" w:w="3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14 Feb 2026 / ILI+=0.02220 ✔ inside 95% PI</w:t>
            </w:r>
          </w:p>
        </w:tc>
      </w:tr>
    </w:tbl>
    <w:p>
      <w:pPr>
        <w:spacing w:before="80" w:after="80"/>
      </w:pPr>
    </w:p>
    <w:p>
      <w:pPr>
        <w:spacing w:before="60" w:after="60"/>
        <w:jc w:val="both"/>
      </w:pPr>
      <w:r>
        <w:rPr>
          <w:rFonts w:ascii="Arial" w:cs="Arial" w:eastAsia="Arial" w:hAnsi="Arial"/>
          <w:b/>
          <w:bCs/>
          <w:sz w:val="20"/>
          <w:szCs w:val="20"/>
        </w:rPr>
        <w:t xml:space="preserve">✓ Calibration check: </w:t>
      </w:r>
      <w:r>
        <w:rPr>
          <w:rFonts w:ascii="Arial" w:cs="Arial" w:eastAsia="Arial" w:hAnsi="Arial"/>
          <w:sz w:val="20"/>
          <w:szCs w:val="20"/>
        </w:rPr>
        <w:t xml:space="preserve">The observed winter 2026 peak (14 February 2026, ILI+=0.02220) falls within the v2.0 model's 95% prediction interval, confirming the bootstrap PI is well-calibrated for the winter season.</w:t>
      </w:r>
    </w:p>
    <w:p>
      <w:pPr>
        <w:spacing w:before="80" w:after="80"/>
      </w:pPr>
    </w:p>
    <w:p>
      <w:pPr>
        <w:spacing w:before="120" w:after="60"/>
        <w:jc w:val="center"/>
      </w:pPr>
      <w:r>
        <w:drawing>
          <wp:inline distT="0" distB="0" distL="0" distR="0">
            <wp:extent cx="5619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619375"/>
                    </a:xfrm>
                    <a:prstGeom prst="rect">
                      <a:avLst/>
                    </a:prstGeom>
                  </pic:spPr>
                </pic:pic>
              </a:graphicData>
            </a:graphic>
          </wp:inline>
        </w:drawing>
      </w:r>
    </w:p>
    <w:p>
      <w:pPr>
        <w:spacing w:before="0" w:after="160"/>
        <w:jc w:val="center"/>
      </w:pPr>
      <w:r>
        <w:rPr>
          <w:rFonts w:ascii="Arial" w:cs="Arial" w:eastAsia="Arial" w:hAnsi="Arial"/>
          <w:i/>
          <w:iCs/>
          <w:color w:val="555555"/>
          <w:sz w:val="17"/>
          <w:szCs w:val="17"/>
        </w:rPr>
        <w:t xml:space="preserve">Figure 1. v2.0 ARIMAX(1,0,1) 52-week forecast with 80%/95% bootstrap prediction intervals. Blue = observed; green dashed = COVID-imputed; orange dashed = forecast.</w:t>
      </w:r>
    </w:p>
    <w:p>
      <w:r>
        <w:br w:type="page"/>
      </w:r>
    </w:p>
    <w:p>
      <w:pPr>
        <w:pStyle w:val="Heading1"/>
        <w:pBdr>
          <w:bottom w:val="single" w:color="2E6DA4" w:sz="8" w:space="4"/>
        </w:pBdr>
        <w:spacing w:before="320" w:after="160"/>
      </w:pPr>
      <w:r>
        <w:rPr>
          <w:rFonts w:ascii="Arial" w:cs="Arial" w:eastAsia="Arial" w:hAnsi="Arial"/>
          <w:b/>
          <w:bCs/>
          <w:color w:val="1A3A5C"/>
          <w:sz w:val="28"/>
          <w:szCs w:val="28"/>
        </w:rPr>
        <w:t xml:space="preserve">6. Addressing Previous Limitations</w:t>
      </w:r>
    </w:p>
    <w:p>
      <w:pPr>
        <w:spacing w:before="60" w:after="60"/>
        <w:jc w:val="both"/>
      </w:pPr>
      <w:r>
        <w:rPr>
          <w:rFonts w:ascii="Arial" w:cs="Arial" w:eastAsia="Arial" w:hAnsi="Arial"/>
          <w:sz w:val="20"/>
          <w:szCs w:val="20"/>
        </w:rPr>
        <w:t xml:space="preserve">This section maps each identified limitation of v1.0 to the implemented improvement in v2.0 and documents the measurable result.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Limitation in v1.0 Model</w:t>
            </w:r>
          </w:p>
        </w:tc>
        <w:tc>
          <w:tcPr>
            <w:tcW w:type="dxa" w:w="34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Implemented Improvement</w:t>
            </w:r>
          </w:p>
        </w:tc>
        <w:tc>
          <w:tcPr>
            <w:tcW w:type="dxa" w:w="316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Result / Impact</w:t>
            </w:r>
          </w:p>
        </w:tc>
      </w:tr>
      <w:tr>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54 weeks of COVID-19 suppression fed as structural zeros, corrupting ARIMA seasonal estimation</w:t>
            </w:r>
          </w:p>
        </w:tc>
        <w:tc>
          <w:tcPr>
            <w:tcW w:type="dxa" w:w="3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Seasonal decomposition imputation (na_seadec) detects and replaces suppressed weeks with plausible estimates from pre/post-pandemic seasonality</w:t>
            </w:r>
          </w:p>
        </w:tc>
        <w:tc>
          <w:tcPr>
            <w:tcW w:type="dxa" w:w="31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Residual AR(1) ≈0.004; Ljung-Box p=0.677 confirms white noise; seasonal structure correctly estimated</w:t>
            </w:r>
          </w:p>
        </w:tc>
      </w:tr>
      <w:tr>
        <w:tc>
          <w:tcPr>
            <w:tcW w:type="dxa" w:w="28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auto.arima() selected model order without documentation, ACF/PACF justification, or multi-model comparison; not reproducible</w:t>
            </w:r>
          </w:p>
        </w:tc>
        <w:tc>
          <w:tcPr>
            <w:tcW w:type="dxa" w:w="3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9 candidate models fitted (p,q∈{0,1,2}); order selected by AIC and BIC with full ACF/PACF and Ljung-Box residual analysis</w:t>
            </w:r>
          </w:p>
        </w:tc>
        <w:tc>
          <w:tcPr>
            <w:tcW w:type="dxa" w:w="31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ARIMAX(1,0,1) confirmed best by AIC (−1772.62) and BIC (−1756.33); fully documented and reproducible</w:t>
            </w:r>
          </w:p>
        </w:tc>
      </w:tr>
      <w:tr>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 external regressors; environmental drivers of influenza ignored</w:t>
            </w:r>
          </w:p>
        </w:tc>
        <w:tc>
          <w:tcPr>
            <w:tcW w:type="dxa" w:w="3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HKO 30-year climatological temperature and absolute humidity added as ARIMAX regressors; available for full forecast horizon</w:t>
            </w:r>
          </w:p>
        </w:tc>
        <w:tc>
          <w:tcPr>
            <w:tcW w:type="dxa" w:w="31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β_temp=−0.00084 (correct sign); β_AH=+0.00086; epidemiologically consistent with literature</w:t>
            </w:r>
          </w:p>
        </w:tc>
      </w:tr>
      <w:tr>
        <w:tc>
          <w:tcPr>
            <w:tcW w:type="dxa" w:w="28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No cross-validation; forecast accuracy entirely unvalidated</w:t>
            </w:r>
          </w:p>
        </w:tc>
        <w:tc>
          <w:tcPr>
            <w:tcW w:type="dxa" w:w="3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Rolling-origin CV: 4 windows, 26-week step, 52-week horizon, scoring non-imputed weeks only</w:t>
            </w:r>
          </w:p>
        </w:tc>
        <w:tc>
          <w:tcPr>
            <w:tcW w:type="dxa" w:w="31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Mean |peak timing error|=12.5 wks; 95% PI coverage=100%; limitations documented honestly</w:t>
            </w:r>
          </w:p>
        </w:tc>
      </w:tr>
      <w:tr>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Gaussian PI assumes normally distributed residuals; Shapiro-Wilk p&lt;0.0001 invalidates this for ILI+</w:t>
            </w:r>
          </w:p>
        </w:tc>
        <w:tc>
          <w:tcPr>
            <w:tcW w:type="dxa" w:w="3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Bootstrap PI (n=500 simulated paths) replaces Gaussian intervals throughout</w:t>
            </w:r>
          </w:p>
        </w:tc>
        <w:tc>
          <w:tcPr>
            <w:tcW w:type="dxa" w:w="31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95% PI coverage=100% across all CV windows; correctly calibrated for non-normal ILI+</w:t>
            </w:r>
          </w:p>
        </w:tc>
      </w:tr>
      <w:tr>
        <w:tc>
          <w:tcPr>
            <w:tcW w:type="dxa" w:w="28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MAPE used as primary metric; near-zero ILI+ values inflate MAPE to 552% mean — meaningless</w:t>
            </w:r>
          </w:p>
        </w:tc>
        <w:tc>
          <w:tcPr>
            <w:tcW w:type="dxa" w:w="3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MAPE dropped entirely; MAE (in ILI+ units) established as sole primary accuracy metric</w:t>
            </w:r>
          </w:p>
        </w:tc>
        <w:tc>
          <w:tcPr>
            <w:tcW w:type="dxa" w:w="31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MAE=0.00535 ILI+ units; interpretable, not distorted by near-zero denominators</w:t>
            </w:r>
          </w:p>
        </w:tc>
      </w:tr>
      <w:tr>
        <w:tc>
          <w:tcPr>
            <w:tcW w:type="dxa" w:w="28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H3N2 strain type and vaccination coverage not modelled</w:t>
            </w:r>
          </w:p>
        </w:tc>
        <w:tc>
          <w:tcPr>
            <w:tcW w:type="dxa" w:w="3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Both tested as additional regressors using CHP data; AIC/BIC comparison conducted rigorously</w:t>
            </w:r>
          </w:p>
        </w:tc>
        <w:tc>
          <w:tcPr>
            <w:tcW w:type="dxa" w:w="31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Correct signs confirmed (β_H3N2=+0.00016, β_vacc=−0.00008); ΔAIC=−2.18 favours parsimonious model; documented for future use</w:t>
            </w:r>
          </w:p>
        </w:tc>
      </w:tr>
    </w:tbl>
    <w:p>
      <w:pPr>
        <w:spacing w:before="120" w:after="120"/>
      </w:pPr>
    </w:p>
    <w:p>
      <w:r>
        <w:br w:type="page"/>
      </w:r>
    </w:p>
    <w:p>
      <w:pPr>
        <w:pStyle w:val="Heading1"/>
        <w:pBdr>
          <w:bottom w:val="single" w:color="2E6DA4" w:sz="8" w:space="4"/>
        </w:pBdr>
        <w:spacing w:before="320" w:after="160"/>
      </w:pPr>
      <w:r>
        <w:rPr>
          <w:rFonts w:ascii="Arial" w:cs="Arial" w:eastAsia="Arial" w:hAnsi="Arial"/>
          <w:b/>
          <w:bCs/>
          <w:color w:val="1A3A5C"/>
          <w:sz w:val="28"/>
          <w:szCs w:val="28"/>
        </w:rPr>
        <w:t xml:space="preserve">7. Improvement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400"/>
        <w:gridCol w:w="2160"/>
      </w:tblGrid>
      <w:tr>
        <w:tc>
          <w:tcPr>
            <w:tcW w:type="dxa" w:w="6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Step</w:t>
            </w:r>
          </w:p>
        </w:tc>
        <w:tc>
          <w:tcPr>
            <w:tcW w:type="dxa" w:w="12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Date</w:t>
            </w:r>
          </w:p>
        </w:tc>
        <w:tc>
          <w:tcPr>
            <w:tcW w:type="dxa" w:w="54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Change</w:t>
            </w:r>
          </w:p>
        </w:tc>
        <w:tc>
          <w:tcPr>
            <w:tcW w:type="dxa" w:w="216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Status</w:t>
            </w:r>
          </w:p>
        </w:tc>
      </w:tr>
      <w:tr>
        <w:tc>
          <w:tcPr>
            <w:tcW w:type="dxa" w:w="6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1</w:t>
            </w:r>
          </w:p>
        </w:tc>
        <w:tc>
          <w:tcPr>
            <w:tcW w:type="dxa" w:w="1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Mar 2026</w:t>
            </w:r>
          </w:p>
        </w:tc>
        <w:tc>
          <w:tcPr>
            <w:tcW w:type="dxa" w:w="5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COVID gap detection and na_seadec imputation (54 weeks)</w:t>
            </w:r>
          </w:p>
        </w:tc>
        <w:tc>
          <w:tcPr>
            <w:tcW w:type="dxa" w:w="21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Complete</w:t>
            </w:r>
          </w:p>
        </w:tc>
      </w:tr>
      <w:tr>
        <w:tc>
          <w:tcPr>
            <w:tcW w:type="dxa" w:w="6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2</w:t>
            </w:r>
          </w:p>
        </w:tc>
        <w:tc>
          <w:tcPr>
            <w:tcW w:type="dxa" w:w="1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Mar 2026</w:t>
            </w:r>
          </w:p>
        </w:tc>
        <w:tc>
          <w:tcPr>
            <w:tcW w:type="dxa" w:w="5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ARIMAX(1,0,1) with HKO climatological regressors; replaces auto.arima</w:t>
            </w:r>
          </w:p>
        </w:tc>
        <w:tc>
          <w:tcPr>
            <w:tcW w:type="dxa" w:w="21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Complete</w:t>
            </w:r>
          </w:p>
        </w:tc>
      </w:tr>
      <w:tr>
        <w:tc>
          <w:tcPr>
            <w:tcW w:type="dxa" w:w="6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3</w:t>
            </w:r>
          </w:p>
        </w:tc>
        <w:tc>
          <w:tcPr>
            <w:tcW w:type="dxa" w:w="1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Mar 2026</w:t>
            </w:r>
          </w:p>
        </w:tc>
        <w:tc>
          <w:tcPr>
            <w:tcW w:type="dxa" w:w="5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Rolling-origin cross-validation (4 windows, 52-wk horizon)</w:t>
            </w:r>
          </w:p>
        </w:tc>
        <w:tc>
          <w:tcPr>
            <w:tcW w:type="dxa" w:w="21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Complete</w:t>
            </w:r>
          </w:p>
        </w:tc>
      </w:tr>
      <w:tr>
        <w:tc>
          <w:tcPr>
            <w:tcW w:type="dxa" w:w="6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4</w:t>
            </w:r>
          </w:p>
        </w:tc>
        <w:tc>
          <w:tcPr>
            <w:tcW w:type="dxa" w:w="1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Mar 2026</w:t>
            </w:r>
          </w:p>
        </w:tc>
        <w:tc>
          <w:tcPr>
            <w:tcW w:type="dxa" w:w="5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Documented model selection: 9 candidates, ACF/PACF, Ljung-Box</w:t>
            </w:r>
          </w:p>
        </w:tc>
        <w:tc>
          <w:tcPr>
            <w:tcW w:type="dxa" w:w="21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Complete</w:t>
            </w:r>
          </w:p>
        </w:tc>
      </w:tr>
      <w:tr>
        <w:tc>
          <w:tcPr>
            <w:tcW w:type="dxa" w:w="6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5</w:t>
            </w:r>
          </w:p>
        </w:tc>
        <w:tc>
          <w:tcPr>
            <w:tcW w:type="dxa" w:w="1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Mar 2026</w:t>
            </w:r>
          </w:p>
        </w:tc>
        <w:tc>
          <w:tcPr>
            <w:tcW w:type="dxa" w:w="5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Model Card v1.0 generated as government-ready .docx</w:t>
            </w:r>
          </w:p>
        </w:tc>
        <w:tc>
          <w:tcPr>
            <w:tcW w:type="dxa" w:w="21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Complete</w:t>
            </w:r>
          </w:p>
        </w:tc>
      </w:tr>
      <w:tr>
        <w:tc>
          <w:tcPr>
            <w:tcW w:type="dxa" w:w="6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5b</w:t>
            </w:r>
          </w:p>
        </w:tc>
        <w:tc>
          <w:tcPr>
            <w:tcW w:type="dxa" w:w="1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Mar 2026</w:t>
            </w:r>
          </w:p>
        </w:tc>
        <w:tc>
          <w:tcPr>
            <w:tcW w:type="dxa" w:w="5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Extended regressors (H3N2, vaccination) tested; AIC favours parsimonious</w:t>
            </w:r>
          </w:p>
        </w:tc>
        <w:tc>
          <w:tcPr>
            <w:tcW w:type="dxa" w:w="21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Complete</w:t>
            </w:r>
          </w:p>
        </w:tc>
      </w:tr>
      <w:tr>
        <w:tc>
          <w:tcPr>
            <w:tcW w:type="dxa" w:w="6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5c</w:t>
            </w:r>
          </w:p>
        </w:tc>
        <w:tc>
          <w:tcPr>
            <w:tcW w:type="dxa" w:w="1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Mar 2026</w:t>
            </w:r>
          </w:p>
        </w:tc>
        <w:tc>
          <w:tcPr>
            <w:tcW w:type="dxa" w:w="5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MAPE dropped; MAE established as primary metric</w:t>
            </w:r>
          </w:p>
        </w:tc>
        <w:tc>
          <w:tcPr>
            <w:tcW w:type="dxa" w:w="21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Complete</w:t>
            </w:r>
          </w:p>
        </w:tc>
      </w:tr>
      <w:tr>
        <w:tc>
          <w:tcPr>
            <w:tcW w:type="dxa" w:w="6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6</w:t>
            </w:r>
          </w:p>
        </w:tc>
        <w:tc>
          <w:tcPr>
            <w:tcW w:type="dxa" w:w="1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Pending</w:t>
            </w:r>
          </w:p>
        </w:tc>
        <w:tc>
          <w:tcPr>
            <w:tcW w:type="dxa" w:w="5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Guangdong leading indicator: FluNet data pull and lagged regressor</w:t>
            </w:r>
          </w:p>
        </w:tc>
        <w:tc>
          <w:tcPr>
            <w:tcW w:type="dxa" w:w="21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Planned</w:t>
            </w:r>
          </w:p>
        </w:tc>
      </w:tr>
      <w:tr>
        <w:tc>
          <w:tcPr>
            <w:tcW w:type="dxa" w:w="6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7</w:t>
            </w:r>
          </w:p>
        </w:tc>
        <w:tc>
          <w:tcPr>
            <w:tcW w:type="dxa" w:w="1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Pending</w:t>
            </w:r>
          </w:p>
        </w:tc>
        <w:tc>
          <w:tcPr>
            <w:tcW w:type="dxa" w:w="5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Supervisor sign-off and CHP submission preparation</w:t>
            </w:r>
          </w:p>
        </w:tc>
        <w:tc>
          <w:tcPr>
            <w:tcW w:type="dxa" w:w="21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Planned</w:t>
            </w:r>
          </w:p>
        </w:tc>
      </w:tr>
    </w:tbl>
    <w:p>
      <w:pPr>
        <w:spacing w:before="120" w:after="120"/>
      </w:pPr>
    </w:p>
    <w:p>
      <w:r>
        <w:br w:type="page"/>
      </w:r>
    </w:p>
    <w:p>
      <w:pPr>
        <w:pStyle w:val="Heading1"/>
        <w:pBdr>
          <w:bottom w:val="single" w:color="2E6DA4" w:sz="8" w:space="4"/>
        </w:pBdr>
        <w:spacing w:before="320" w:after="160"/>
      </w:pPr>
      <w:r>
        <w:rPr>
          <w:rFonts w:ascii="Arial" w:cs="Arial" w:eastAsia="Arial" w:hAnsi="Arial"/>
          <w:b/>
          <w:bCs/>
          <w:color w:val="1A3A5C"/>
          <w:sz w:val="28"/>
          <w:szCs w:val="28"/>
        </w:rPr>
        <w:t xml:space="preserve">8. Handoff File Structure</w:t>
      </w:r>
    </w:p>
    <w:p>
      <w:pPr>
        <w:spacing w:before="60" w:after="60"/>
        <w:jc w:val="both"/>
      </w:pPr>
      <w:r>
        <w:rPr>
          <w:rFonts w:ascii="Arial" w:cs="Arial" w:eastAsia="Arial" w:hAnsi="Arial"/>
          <w:sz w:val="20"/>
          <w:szCs w:val="20"/>
        </w:rPr>
        <w:t xml:space="preserve">Place all files below in the same folder. Run </w:t>
      </w:r>
      <w:r>
        <w:rPr>
          <w:rFonts w:ascii="Courier New" w:cs="Courier New" w:eastAsia="Courier New" w:hAnsi="Courier New"/>
          <w:color w:val="2E4057"/>
          <w:sz w:val="18"/>
          <w:szCs w:val="18"/>
        </w:rPr>
        <w:t xml:space="preserve">python evaluation_script.py</w:t>
      </w:r>
      <w:r>
        <w:rPr>
          <w:rFonts w:ascii="Arial" w:cs="Arial" w:eastAsia="Arial" w:hAnsi="Arial"/>
          <w:sz w:val="20"/>
          <w:szCs w:val="20"/>
        </w:rPr>
        <w:t xml:space="preserve"> to reproduce all Section 5 metrics independently.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760"/>
        <w:gridCol w:w="2200"/>
      </w:tblGrid>
      <w:tr>
        <w:tc>
          <w:tcPr>
            <w:tcW w:type="dxa" w:w="24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File</w:t>
            </w:r>
          </w:p>
        </w:tc>
        <w:tc>
          <w:tcPr>
            <w:tcW w:type="dxa" w:w="10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Type</w:t>
            </w:r>
          </w:p>
        </w:tc>
        <w:tc>
          <w:tcPr>
            <w:tcW w:type="dxa" w:w="376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Purpose</w:t>
            </w:r>
          </w:p>
        </w:tc>
        <w:tc>
          <w:tcPr>
            <w:tcW w:type="dxa" w:w="22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Produced By</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Model_Card_v2.docx</w:t>
            </w:r>
          </w:p>
        </w:tc>
        <w:tc>
          <w:tcPr>
            <w:tcW w:type="dxa" w:w="1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Document</w:t>
            </w:r>
          </w:p>
        </w:tc>
        <w:tc>
          <w:tcPr>
            <w:tcW w:type="dxa" w:w="3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This file — primary handoff document</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Step 5</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hyperparameters.json</w:t>
            </w:r>
          </w:p>
        </w:tc>
        <w:tc>
          <w:tcPr>
            <w:tcW w:type="dxa" w:w="10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Config</w:t>
            </w:r>
          </w:p>
        </w:tc>
        <w:tc>
          <w:tcPr>
            <w:tcW w:type="dxa" w:w="3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Exact model configuration for reproducibility</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Step 2</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hk_flu_clean.rds</w:t>
            </w:r>
          </w:p>
        </w:tc>
        <w:tc>
          <w:tcPr>
            <w:tcW w:type="dxa" w:w="1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Data</w:t>
            </w:r>
          </w:p>
        </w:tc>
        <w:tc>
          <w:tcPr>
            <w:tcW w:type="dxa" w:w="3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Raw CHP ILI+ surveillance data (2019–2026)</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CHP (supplied)</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hk_flu_imputed.csv</w:t>
            </w:r>
          </w:p>
        </w:tc>
        <w:tc>
          <w:tcPr>
            <w:tcW w:type="dxa" w:w="10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Data</w:t>
            </w:r>
          </w:p>
        </w:tc>
        <w:tc>
          <w:tcPr>
            <w:tcW w:type="dxa" w:w="3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COVID-imputed training series with audit trail</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Step 1</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arimax_forecast.csv</w:t>
            </w:r>
          </w:p>
        </w:tc>
        <w:tc>
          <w:tcPr>
            <w:tcW w:type="dxa" w:w="1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Output</w:t>
            </w:r>
          </w:p>
        </w:tc>
        <w:tc>
          <w:tcPr>
            <w:tcW w:type="dxa" w:w="3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52-week forecast + 80%/95% bootstrap PI</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Step 2</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extended_forecast.csv</w:t>
            </w:r>
          </w:p>
        </w:tc>
        <w:tc>
          <w:tcPr>
            <w:tcW w:type="dxa" w:w="10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Output</w:t>
            </w:r>
          </w:p>
        </w:tc>
        <w:tc>
          <w:tcPr>
            <w:tcW w:type="dxa" w:w="3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Baseline vs extended model forecast comparison</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Step 5b</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cv_results_table.csv</w:t>
            </w:r>
          </w:p>
        </w:tc>
        <w:tc>
          <w:tcPr>
            <w:tcW w:type="dxa" w:w="1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Output</w:t>
            </w:r>
          </w:p>
        </w:tc>
        <w:tc>
          <w:tcPr>
            <w:tcW w:type="dxa" w:w="3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Rolling-origin cross-validation results</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Step 3</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evaluation_script.py</w:t>
            </w:r>
          </w:p>
        </w:tc>
        <w:tc>
          <w:tcPr>
            <w:tcW w:type="dxa" w:w="10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Code</w:t>
            </w:r>
          </w:p>
        </w:tc>
        <w:tc>
          <w:tcPr>
            <w:tcW w:type="dxa" w:w="3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Run to independently verify all Section 5 metrics</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Steps 1-4</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sample_predictions.csv</w:t>
            </w:r>
          </w:p>
        </w:tc>
        <w:tc>
          <w:tcPr>
            <w:tcW w:type="dxa" w:w="1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Output</w:t>
            </w:r>
          </w:p>
        </w:tc>
        <w:tc>
          <w:tcPr>
            <w:tcW w:type="dxa" w:w="3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Weekly forecast vs observed (validation period)</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Step 3</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spec_fig1_acf_pacf.png</w:t>
            </w:r>
          </w:p>
        </w:tc>
        <w:tc>
          <w:tcPr>
            <w:tcW w:type="dxa" w:w="10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Figure</w:t>
            </w:r>
          </w:p>
        </w:tc>
        <w:tc>
          <w:tcPr>
            <w:tcW w:type="dxa" w:w="3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ACF/PACF order selection analysis</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Step 4</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spec_fig2_model_selection.png</w:t>
            </w:r>
          </w:p>
        </w:tc>
        <w:tc>
          <w:tcPr>
            <w:tcW w:type="dxa" w:w="1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Figure</w:t>
            </w:r>
          </w:p>
        </w:tc>
        <w:tc>
          <w:tcPr>
            <w:tcW w:type="dxa" w:w="3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9-candidate model AIC/BIC comparison</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Step 4</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spec_fig3_checkresiduals.png</w:t>
            </w:r>
          </w:p>
        </w:tc>
        <w:tc>
          <w:tcPr>
            <w:tcW w:type="dxa" w:w="10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Figure</w:t>
            </w:r>
          </w:p>
        </w:tc>
        <w:tc>
          <w:tcPr>
            <w:tcW w:type="dxa" w:w="3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Full residual diagnostics panel</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Step 4</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cv_fig1_all_windows.png</w:t>
            </w:r>
          </w:p>
        </w:tc>
        <w:tc>
          <w:tcPr>
            <w:tcW w:type="dxa" w:w="1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Figure</w:t>
            </w:r>
          </w:p>
        </w:tc>
        <w:tc>
          <w:tcPr>
            <w:tcW w:type="dxa" w:w="3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All 4 CV forecast windows vs observed</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Step 3</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cv_fig2_scorecard.png</w:t>
            </w:r>
          </w:p>
        </w:tc>
        <w:tc>
          <w:tcPr>
            <w:tcW w:type="dxa" w:w="10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Figure</w:t>
            </w:r>
          </w:p>
        </w:tc>
        <w:tc>
          <w:tcPr>
            <w:tcW w:type="dxa" w:w="3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CV performance scorecard</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Step 3</w:t>
            </w:r>
          </w:p>
        </w:tc>
      </w:tr>
      <w:tr>
        <w:tc>
          <w:tcPr>
            <w:tcW w:type="dxa" w:w="2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arimax_fig1_forecast.png</w:t>
            </w:r>
          </w:p>
        </w:tc>
        <w:tc>
          <w:tcPr>
            <w:tcW w:type="dxa" w:w="10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Figure</w:t>
            </w:r>
          </w:p>
        </w:tc>
        <w:tc>
          <w:tcPr>
            <w:tcW w:type="dxa" w:w="3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Main 52-week forecast chart</w:t>
            </w:r>
          </w:p>
        </w:tc>
        <w:tc>
          <w:tcPr>
            <w:tcW w:type="dxa" w:w="2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Step 2</w:t>
            </w:r>
          </w:p>
        </w:tc>
      </w:tr>
      <w:tr>
        <w:tc>
          <w:tcPr>
            <w:tcW w:type="dxa" w:w="2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ext_fig1_comparison.png</w:t>
            </w:r>
          </w:p>
        </w:tc>
        <w:tc>
          <w:tcPr>
            <w:tcW w:type="dxa" w:w="10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Figure</w:t>
            </w:r>
          </w:p>
        </w:tc>
        <w:tc>
          <w:tcPr>
            <w:tcW w:type="dxa" w:w="3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Baseline vs extended model comparison</w:t>
            </w:r>
          </w:p>
        </w:tc>
        <w:tc>
          <w:tcPr>
            <w:tcW w:type="dxa" w:w="2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Step 5b</w:t>
            </w:r>
          </w:p>
        </w:tc>
      </w:tr>
    </w:tbl>
    <w:p>
      <w:pPr>
        <w:spacing w:before="120" w:after="120"/>
      </w:pPr>
    </w:p>
    <w:p>
      <w:r>
        <w:br w:type="page"/>
      </w:r>
    </w:p>
    <w:p>
      <w:pPr>
        <w:pStyle w:val="Heading1"/>
        <w:pBdr>
          <w:bottom w:val="single" w:color="2E6DA4" w:sz="8" w:space="4"/>
        </w:pBdr>
        <w:spacing w:before="320" w:after="160"/>
      </w:pPr>
      <w:r>
        <w:rPr>
          <w:rFonts w:ascii="Arial" w:cs="Arial" w:eastAsia="Arial" w:hAnsi="Arial"/>
          <w:b/>
          <w:bCs/>
          <w:color w:val="1A3A5C"/>
          <w:sz w:val="28"/>
          <w:szCs w:val="28"/>
        </w:rPr>
        <w:t xml:space="preserve">9. Supervisor Sign-Off</w:t>
      </w:r>
    </w:p>
    <w:p>
      <w:pPr>
        <w:spacing w:before="60" w:after="60"/>
        <w:jc w:val="both"/>
      </w:pPr>
      <w:r>
        <w:rPr>
          <w:rFonts w:ascii="Arial" w:cs="Arial" w:eastAsia="Arial" w:hAnsi="Arial"/>
          <w:sz w:val="20"/>
          <w:szCs w:val="20"/>
        </w:rPr>
        <w:t xml:space="preserve">To be completed by Mr. Chen JunQiao following independent review of the handoff package.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Review Item</w:t>
            </w:r>
          </w:p>
        </w:tc>
        <w:tc>
          <w:tcPr>
            <w:tcW w:type="dxa" w:w="14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Verified?</w:t>
            </w:r>
          </w:p>
        </w:tc>
        <w:tc>
          <w:tcPr>
            <w:tcW w:type="dxa" w:w="376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Comments</w:t>
            </w:r>
          </w:p>
        </w:tc>
      </w:tr>
      <w:tr>
        <w:tc>
          <w:tcPr>
            <w:tcW w:type="dxa" w:w="4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Model Card v2.0 reviewed in full</w:t>
            </w:r>
          </w:p>
        </w:tc>
        <w:tc>
          <w:tcPr>
            <w:tcW w:type="dxa" w:w="1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w:t>
            </w:r>
          </w:p>
        </w:tc>
        <w:tc>
          <w:tcPr>
            <w:tcW w:type="dxa" w:w="3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w:r>
          </w:p>
        </w:tc>
      </w:tr>
      <w:tr>
        <w:tc>
          <w:tcPr>
            <w:tcW w:type="dxa" w:w="4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hyperparameters.json matches Section 4 values</w:t>
            </w:r>
          </w:p>
        </w:tc>
        <w:tc>
          <w:tcPr>
            <w:tcW w:type="dxa" w:w="1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w:t>
            </w:r>
          </w:p>
        </w:tc>
        <w:tc>
          <w:tcPr>
            <w:tcW w:type="dxa" w:w="3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w:r>
          </w:p>
        </w:tc>
      </w:tr>
      <w:tr>
        <w:tc>
          <w:tcPr>
            <w:tcW w:type="dxa" w:w="4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evaluation_script.py reproduces Section 5 metrics</w:t>
            </w:r>
          </w:p>
        </w:tc>
        <w:tc>
          <w:tcPr>
            <w:tcW w:type="dxa" w:w="1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w:t>
            </w:r>
          </w:p>
        </w:tc>
        <w:tc>
          <w:tcPr>
            <w:tcW w:type="dxa" w:w="3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w:r>
          </w:p>
        </w:tc>
      </w:tr>
      <w:tr>
        <w:tc>
          <w:tcPr>
            <w:tcW w:type="dxa" w:w="4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COVID imputation approach approved</w:t>
            </w:r>
          </w:p>
        </w:tc>
        <w:tc>
          <w:tcPr>
            <w:tcW w:type="dxa" w:w="1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w:t>
            </w:r>
          </w:p>
        </w:tc>
        <w:tc>
          <w:tcPr>
            <w:tcW w:type="dxa" w:w="3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w:r>
          </w:p>
        </w:tc>
      </w:tr>
      <w:tr>
        <w:tc>
          <w:tcPr>
            <w:tcW w:type="dxa" w:w="4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Cross-validation results accepted</w:t>
            </w:r>
          </w:p>
        </w:tc>
        <w:tc>
          <w:tcPr>
            <w:tcW w:type="dxa" w:w="1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w:t>
            </w:r>
          </w:p>
        </w:tc>
        <w:tc>
          <w:tcPr>
            <w:tcW w:type="dxa" w:w="3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w:r>
          </w:p>
        </w:tc>
      </w:tr>
      <w:tr>
        <w:tc>
          <w:tcPr>
            <w:tcW w:type="dxa" w:w="4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Limitations in Section 6 acknowledged</w:t>
            </w:r>
          </w:p>
        </w:tc>
        <w:tc>
          <w:tcPr>
            <w:tcW w:type="dxa" w:w="14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w:t>
            </w:r>
          </w:p>
        </w:tc>
        <w:tc>
          <w:tcPr>
            <w:tcW w:type="dxa" w:w="376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w:r>
          </w:p>
        </w:tc>
      </w:tr>
      <w:tr>
        <w:tc>
          <w:tcPr>
            <w:tcW w:type="dxa" w:w="4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Approved for CHP submission preparation</w:t>
            </w:r>
          </w:p>
        </w:tc>
        <w:tc>
          <w:tcPr>
            <w:tcW w:type="dxa" w:w="14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w:t>
            </w:r>
          </w:p>
        </w:tc>
        <w:tc>
          <w:tcPr>
            <w:tcW w:type="dxa" w:w="376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
            </w:r>
          </w:p>
        </w:tc>
        <w:tc>
          <w:tcPr>
            <w:tcW w:type="dxa" w:w="408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Supervisor</w:t>
            </w:r>
          </w:p>
        </w:tc>
        <w:tc>
          <w:tcPr>
            <w:tcW w:type="dxa" w:w="4080"/>
            <w:tcBorders>
              <w:top w:val="single" w:color="C5D5E8" w:sz="1"/>
              <w:left w:val="single" w:color="C5D5E8" w:sz="1"/>
              <w:bottom w:val="single" w:color="C5D5E8" w:sz="1"/>
              <w:right w:val="single" w:color="C5D5E8" w:sz="1"/>
            </w:tcBorders>
            <w:shd w:fill="2E6DA4" w:val="clear"/>
            <w:tcMar>
              <w:top w:type="dxa" w:w="85"/>
              <w:left w:type="dxa" w:w="120"/>
              <w:bottom w:type="dxa" w:w="85"/>
              <w:right w:type="dxa" w:w="120"/>
            </w:tcMar>
            <w:vAlign w:val="center"/>
          </w:tcPr>
          <w:p>
            <w:pPr>
              <w:jc w:val="left"/>
            </w:pPr>
            <w:r>
              <w:rPr>
                <w:rFonts w:ascii="Arial" w:cs="Arial" w:eastAsia="Arial" w:hAnsi="Arial"/>
                <w:b/>
                <w:bCs/>
                <w:color w:val="FFFFFF"/>
                <w:sz w:val="19"/>
                <w:szCs w:val="19"/>
              </w:rPr>
              <w:t xml:space="preserve">Practicum Student</w:t>
            </w:r>
          </w:p>
        </w:tc>
      </w:tr>
      <w:tr>
        <w:tc>
          <w:tcPr>
            <w:tcW w:type="dxa" w:w="1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Name</w:t>
            </w:r>
          </w:p>
        </w:tc>
        <w:tc>
          <w:tcPr>
            <w:tcW w:type="dxa" w:w="40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Mr. Chen JunQiao</w:t>
            </w:r>
          </w:p>
        </w:tc>
        <w:tc>
          <w:tcPr>
            <w:tcW w:type="dxa" w:w="40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Parth Singh</w:t>
            </w:r>
          </w:p>
        </w:tc>
      </w:tr>
      <w:tr>
        <w:tc>
          <w:tcPr>
            <w:tcW w:type="dxa" w:w="120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Signature</w:t>
            </w:r>
          </w:p>
        </w:tc>
        <w:tc>
          <w:tcPr>
            <w:tcW w:type="dxa" w:w="408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w:r>
          </w:p>
        </w:tc>
        <w:tc>
          <w:tcPr>
            <w:tcW w:type="dxa" w:w="4080"/>
            <w:tcBorders>
              <w:top w:val="single" w:color="C5D5E8" w:sz="1"/>
              <w:left w:val="single" w:color="C5D5E8" w:sz="1"/>
              <w:bottom w:val="single" w:color="C5D5E8" w:sz="1"/>
              <w:right w:val="single" w:color="C5D5E8" w:sz="1"/>
            </w:tcBorders>
            <w:shd w:fill="F7FAFD"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w:r>
          </w:p>
        </w:tc>
      </w:tr>
      <w:tr>
        <w:tc>
          <w:tcPr>
            <w:tcW w:type="dxa" w:w="120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Date</w:t>
            </w:r>
          </w:p>
        </w:tc>
        <w:tc>
          <w:tcPr>
            <w:tcW w:type="dxa" w:w="40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
            </w:r>
          </w:p>
        </w:tc>
        <w:tc>
          <w:tcPr>
            <w:tcW w:type="dxa" w:w="4080"/>
            <w:tcBorders>
              <w:top w:val="single" w:color="C5D5E8" w:sz="1"/>
              <w:left w:val="single" w:color="C5D5E8" w:sz="1"/>
              <w:bottom w:val="single" w:color="C5D5E8" w:sz="1"/>
              <w:right w:val="single" w:color="C5D5E8" w:sz="1"/>
            </w:tcBorders>
            <w:shd w:fill="FFFFFF" w:val="clear"/>
            <w:tcMar>
              <w:top w:type="dxa" w:w="85"/>
              <w:left w:type="dxa" w:w="120"/>
              <w:bottom w:type="dxa" w:w="85"/>
              <w:right w:type="dxa" w:w="120"/>
            </w:tcMar>
            <w:vAlign w:val="center"/>
          </w:tcPr>
          <w:p>
            <w:pPr>
              <w:jc w:val="left"/>
            </w:pPr>
            <w:r>
              <w:rPr>
                <w:rFonts w:ascii="Arial" w:cs="Arial" w:eastAsia="Arial" w:hAnsi="Arial"/>
                <w:b w:val="false"/>
                <w:bCs w:val="false"/>
                <w:sz w:val="19"/>
                <w:szCs w:val="19"/>
              </w:rPr>
              <w:t xml:space="preserve">18 March 2026</w:t>
            </w:r>
          </w:p>
        </w:tc>
      </w:tr>
    </w:tbl>
    <w:p>
      <w:pPr>
        <w:spacing w:before="240" w:after="240"/>
      </w:pPr>
    </w:p>
    <w:p>
      <w:pPr>
        <w:jc w:val="center"/>
      </w:pPr>
      <w:r>
        <w:rPr>
          <w:rFonts w:ascii="Arial" w:cs="Arial" w:eastAsia="Arial" w:hAnsi="Arial"/>
          <w:i/>
          <w:iCs/>
          <w:color w:val="888888"/>
          <w:sz w:val="17"/>
          <w:szCs w:val="17"/>
        </w:rPr>
        <w:t xml:space="preserve">End of Model Card v2.0  —  HK Influenza Forecast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pPr>
    <w:r>
      <w:rPr>
        <w:rFonts w:ascii="Arial" w:cs="Arial" w:eastAsia="Arial" w:hAnsi="Arial"/>
        <w:color w:val="888888"/>
        <w:sz w:val="16"/>
        <w:szCs w:val="16"/>
      </w:rPr>
      <w:t xml:space="preserve">DRAFT — For supervisor review only. Not for public release without sign-off.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color w:val="888888"/>
        <w:sz w:val="16"/>
        <w:szCs w:val="16"/>
      </w:rPr>
      <w:t xml:space="preserve">MODEL CARD v2.0  —  HK Influenza Forecast  |  Parth Singh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28"/>
      <w:szCs w:val="28"/>
    </w:rPr>
  </w:style>
  <w:style w:type="paragraph" w:styleId="Heading2">
    <w:name w:val="Heading 2"/>
    <w:basedOn w:val="Normal"/>
    <w:next w:val="Normal"/>
    <w:qFormat/>
    <w:pPr>
      <w:spacing w:before="220" w:after="10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e0cc9de5b50f11bbe19f303e22edda64374c0ba.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2026-03-18T08:46:43.777Z</dcterms:created>
  <dcterms:modified xsi:type="dcterms:W3CDTF">2026-03-18T08:46:43.778Z</dcterms:modified>
</cp:coreProperties>
</file>

<file path=docProps/custom.xml><?xml version="1.0" encoding="utf-8"?>
<Properties xmlns="http://schemas.openxmlformats.org/officeDocument/2006/custom-properties" xmlns:vt="http://schemas.openxmlformats.org/officeDocument/2006/docPropsVTypes"/>
</file>